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2" w:lineRule="exact"/>
        <w:rPr>
          <w:sz w:val="24"/>
          <w:szCs w:val="24"/>
          <w:color w:val="auto"/>
        </w:rPr>
      </w:pPr>
    </w:p>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333-298609</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 No. 6</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August 28,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2705100</wp:posOffset>
            </wp:positionH>
            <wp:positionV relativeFrom="paragraph">
              <wp:posOffset>142875</wp:posOffset>
            </wp:positionV>
            <wp:extent cx="1739900" cy="6000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39900" cy="6000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UP TO 154,623,867 ORDINARY SHARES</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AIR GLOBAL PLC</w:t>
      </w:r>
    </w:p>
    <w:p>
      <w:pPr>
        <w:spacing w:after="0" w:line="229" w:lineRule="exact"/>
        <w:rPr>
          <w:sz w:val="24"/>
          <w:szCs w:val="24"/>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This prospectus supplement amends and supplements the prospectus dated August 28, 2026 (the “Prospectus”), which forms part of our registration statement on Form F-1 (No. 333-298609). This prospectus supplement is being filed to update, amend and supplement the information included in the Prospectus with the information contained in our Report on Form 6-K (other than Exhibit 99.1 thereof), furnished to the Securities and Exchange Commission (the “SEC”) on November 5, 2026 (the “Form 6-K”). Accordingly, we have attached the Form 6-K (other than Exhibit 99.1 thereof) to this prospectus supplement.</w:t>
      </w:r>
    </w:p>
    <w:p>
      <w:pPr>
        <w:spacing w:after="0" w:line="183" w:lineRule="exact"/>
        <w:rPr>
          <w:sz w:val="24"/>
          <w:szCs w:val="24"/>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This prospectus supplement updates and supplements the information in the Prospectus and is not complete without, and may not be delivered or utilized except in combination with, the Prospectus, including any amendments or supplements thereto. This prospectus supplement should be read in conjunction with the Prospectus, and if there is any inconsistency between the information in the Prospectus and this prospectus supplement, you should rely on the information in this prospectus supplement. Terms used in this prospectus supplement but not defined herein shall have the meanings given to such terms in the Prospectus.</w:t>
      </w:r>
    </w:p>
    <w:p>
      <w:pPr>
        <w:spacing w:after="0" w:line="179" w:lineRule="exact"/>
        <w:rPr>
          <w:sz w:val="24"/>
          <w:szCs w:val="24"/>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color w:val="auto"/>
        </w:rPr>
        <w:t>Our ordinary shares are listed on the Nasdaq Global Market (“</w:t>
      </w:r>
      <w:r>
        <w:rPr>
          <w:rFonts w:ascii="Times New Roman" w:cs="Times New Roman" w:eastAsia="Times New Roman" w:hAnsi="Times New Roman"/>
          <w:sz w:val="18"/>
          <w:szCs w:val="18"/>
          <w:b w:val="1"/>
          <w:bCs w:val="1"/>
          <w:color w:val="1B1A18"/>
        </w:rPr>
        <w:t>Nasdaq</w:t>
      </w:r>
      <w:r>
        <w:rPr>
          <w:rFonts w:ascii="Times New Roman" w:cs="Times New Roman" w:eastAsia="Times New Roman" w:hAnsi="Times New Roman"/>
          <w:sz w:val="18"/>
          <w:szCs w:val="18"/>
          <w:color w:val="auto"/>
        </w:rPr>
        <w:t>”) under the symbol “AIIR.” On November 4, 2026, the last reported sale price of our ordinary shares as reported on Nasdaq was $7.41 per share.</w:t>
      </w:r>
    </w:p>
    <w:p>
      <w:pPr>
        <w:spacing w:after="0" w:line="155" w:lineRule="exact"/>
        <w:rPr>
          <w:sz w:val="24"/>
          <w:szCs w:val="24"/>
          <w:color w:val="auto"/>
        </w:rPr>
      </w:pPr>
    </w:p>
    <w:p>
      <w:pPr>
        <w:ind w:right="340"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Investing in our securities involves a high degree of risk. See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1B1A18"/>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beginning on page 7 of the Prospectus for a discussion of information that should be considered in connection with an investment in our securities.</w:t>
      </w:r>
    </w:p>
    <w:p>
      <w:pPr>
        <w:spacing w:after="0" w:line="155" w:lineRule="exact"/>
        <w:rPr>
          <w:sz w:val="24"/>
          <w:szCs w:val="24"/>
          <w:color w:val="auto"/>
        </w:rPr>
      </w:pPr>
    </w:p>
    <w:p>
      <w:pPr>
        <w:ind w:left="760" w:right="540"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 nor any state securities commission has approved or disapproved of these securities or passed upon the adequacy or accuracy of the Prospectus or this prospectus supplement. Any representation to the contrary is a criminal offense.</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1B1A18"/>
        </w:rPr>
        <w:t>The date of this prospectus supplement is November 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1189990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jc w:val="center"/>
        <w:ind w:right="46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460"/>
        <w:spacing w:after="0" w:line="235" w:lineRule="auto"/>
        <w:rPr>
          <w:sz w:val="20"/>
          <w:szCs w:val="20"/>
          <w:color w:val="auto"/>
        </w:rPr>
      </w:pPr>
      <w:r>
        <w:rPr>
          <w:rFonts w:ascii="Times New Roman" w:cs="Times New Roman" w:eastAsia="Times New Roman" w:hAnsi="Times New Roman"/>
          <w:sz w:val="22"/>
          <w:szCs w:val="22"/>
          <w:b w:val="1"/>
          <w:bCs w:val="1"/>
          <w:color w:val="auto"/>
        </w:rPr>
        <w:t>Washington, D.C. 20549</w:t>
      </w:r>
    </w:p>
    <w:p>
      <w:pPr>
        <w:ind w:left="3880"/>
        <w:spacing w:after="0"/>
        <w:rPr>
          <w:sz w:val="20"/>
          <w:szCs w:val="20"/>
          <w:color w:val="auto"/>
        </w:rPr>
      </w:pPr>
      <w:r>
        <w:rPr>
          <w:rFonts w:ascii="Times New Roman" w:cs="Times New Roman" w:eastAsia="Times New Roman" w:hAnsi="Times New Roman"/>
          <w:sz w:val="18"/>
          <w:szCs w:val="18"/>
          <w:b w:val="1"/>
          <w:bCs w:val="1"/>
          <w:color w:val="auto"/>
        </w:rPr>
        <w:t>______________________</w:t>
      </w:r>
    </w:p>
    <w:p>
      <w:pPr>
        <w:spacing w:after="0" w:line="185"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9"/>
          <w:szCs w:val="29"/>
          <w:b w:val="1"/>
          <w:bCs w:val="1"/>
          <w:color w:val="auto"/>
        </w:rPr>
        <w:t>Form 6-K</w:t>
      </w:r>
    </w:p>
    <w:p>
      <w:pPr>
        <w:spacing w:after="0" w:line="227"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w:t>
      </w:r>
    </w:p>
    <w:p>
      <w:pPr>
        <w:spacing w:after="0" w:line="18"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2"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2"/>
          <w:szCs w:val="22"/>
          <w:color w:val="auto"/>
        </w:rPr>
        <w:t>For the month of November, 2026</w:t>
      </w:r>
    </w:p>
    <w:p>
      <w:pPr>
        <w:spacing w:after="0" w:line="14"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2"/>
          <w:szCs w:val="22"/>
          <w:color w:val="auto"/>
        </w:rPr>
        <w:t>Commission File Number: 001-43297</w:t>
      </w:r>
    </w:p>
    <w:p>
      <w:pPr>
        <w:spacing w:after="0" w:line="171"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9"/>
          <w:szCs w:val="29"/>
          <w:b w:val="1"/>
          <w:bCs w:val="1"/>
          <w:color w:val="auto"/>
        </w:rPr>
        <w:t>AIR Global PLC</w:t>
      </w:r>
    </w:p>
    <w:p>
      <w:pPr>
        <w:spacing w:after="0" w:line="240"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12"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2"/>
          <w:szCs w:val="22"/>
          <w:b w:val="1"/>
          <w:bCs w:val="1"/>
          <w:color w:val="auto"/>
        </w:rPr>
        <w:t>Festival Office Tower</w:t>
      </w:r>
    </w:p>
    <w:p>
      <w:pPr>
        <w:spacing w:after="0" w:line="8"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2"/>
          <w:szCs w:val="22"/>
          <w:b w:val="1"/>
          <w:bCs w:val="1"/>
          <w:color w:val="auto"/>
        </w:rPr>
        <w:t>Dubai Festival City, 7th Floor</w:t>
      </w:r>
    </w:p>
    <w:p>
      <w:pPr>
        <w:jc w:val="center"/>
        <w:ind w:right="460"/>
        <w:spacing w:after="0" w:line="230" w:lineRule="auto"/>
        <w:rPr>
          <w:sz w:val="20"/>
          <w:szCs w:val="20"/>
          <w:color w:val="auto"/>
        </w:rPr>
      </w:pPr>
      <w:r>
        <w:rPr>
          <w:rFonts w:ascii="Times New Roman" w:cs="Times New Roman" w:eastAsia="Times New Roman" w:hAnsi="Times New Roman"/>
          <w:sz w:val="22"/>
          <w:szCs w:val="22"/>
          <w:b w:val="1"/>
          <w:bCs w:val="1"/>
          <w:color w:val="auto"/>
        </w:rPr>
        <w:t>Dubai</w:t>
      </w:r>
    </w:p>
    <w:p>
      <w:pPr>
        <w:spacing w:after="0" w:line="1"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2"/>
          <w:szCs w:val="22"/>
          <w:b w:val="1"/>
          <w:bCs w:val="1"/>
          <w:color w:val="auto"/>
        </w:rPr>
        <w:t>United Arab Emirates</w:t>
      </w:r>
    </w:p>
    <w:p>
      <w:pPr>
        <w:spacing w:after="0" w:line="191"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Indicate by check mark whether the registrant files or will file annual reports under cover of Form 20-F or Form 40-F.</w:t>
      </w:r>
    </w:p>
    <w:p>
      <w:pPr>
        <w:spacing w:after="0" w:line="218" w:lineRule="exact"/>
        <w:rPr>
          <w:sz w:val="20"/>
          <w:szCs w:val="20"/>
          <w:color w:val="auto"/>
        </w:rPr>
      </w:pPr>
    </w:p>
    <w:p>
      <w:pPr>
        <w:ind w:left="2420"/>
        <w:spacing w:after="0"/>
        <w:tabs>
          <w:tab w:leader="none" w:pos="6060" w:val="left"/>
        </w:tabs>
        <w:rPr>
          <w:sz w:val="20"/>
          <w:szCs w:val="20"/>
          <w:color w:val="auto"/>
        </w:rPr>
      </w:pPr>
      <w:r>
        <w:rPr>
          <w:rFonts w:ascii="Times New Roman" w:cs="Times New Roman" w:eastAsia="Times New Roman" w:hAnsi="Times New Roman"/>
          <w:sz w:val="22"/>
          <w:szCs w:val="22"/>
          <w:color w:val="auto"/>
        </w:rPr>
        <w:t xml:space="preserve">Form 20-F </w:t>
      </w:r>
      <w:r>
        <w:rPr>
          <w:rFonts w:ascii="Wingdings" w:cs="Wingdings" w:eastAsia="Wingdings" w:hAnsi="Wingdings"/>
          <w:sz w:val="22"/>
          <w:szCs w:val="22"/>
          <w:b w:val="1"/>
          <w:bCs w:val="1"/>
          <w:color w:val="auto"/>
        </w:rPr>
        <w:t></w:t>
      </w:r>
      <w:r>
        <w:rPr>
          <w:sz w:val="20"/>
          <w:szCs w:val="20"/>
          <w:color w:val="auto"/>
        </w:rPr>
        <w:tab/>
      </w:r>
      <w:r>
        <w:rPr>
          <w:rFonts w:ascii="Times New Roman" w:cs="Times New Roman" w:eastAsia="Times New Roman" w:hAnsi="Times New Roman"/>
          <w:sz w:val="22"/>
          <w:szCs w:val="22"/>
          <w:color w:val="auto"/>
        </w:rPr>
        <w:t xml:space="preserve">Form 40-F </w:t>
      </w:r>
      <w:r>
        <w:rPr>
          <w:rFonts w:ascii="Wingdings" w:cs="Wingdings" w:eastAsia="Wingdings" w:hAnsi="Wingdings"/>
          <w:sz w:val="22"/>
          <w:szCs w:val="2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1292860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00"/>
          </w:cols>
          <w:pgMar w:left="1080" w:top="1404" w:right="61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CONTAINED IN THIS REPORT ON FORM 6-K</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On November 5, 2026, AIR Global PLC (the “Company”) issued a press release announcing that it has submitted a Premarket Tobacco Product Application to the U.S. Food and Drug Administration for Crown Switch, a rechargeable pod vape platform. A copy of the press release is furnished as Exhibit 99.1 to this Report on Form 6-K.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5, 2026</w:t>
      </w:r>
    </w:p>
    <w:p>
      <w:pPr>
        <w:spacing w:after="0" w:line="24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AIR Global PLC</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Stuart Brazier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Stuart Brazier</w:t>
      </w:r>
    </w:p>
    <w:p>
      <w:pPr>
        <w:spacing w:after="0" w:line="23"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2026-11-05T08:15:16Z</dcterms:created>
  <dcterms:modified xsi:type="dcterms:W3CDTF">2026-11-05T08:15:16Z</dcterms:modified>
</cp:coreProperties>
</file>