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6-k_capital_returns_pr.htm"/>
      <w:bookmarkStart w:id="1" w:name="ks6k_capital_returns_pr"/>
      <w:bookmarkEnd w:id="0"/>
      <w:bookmarkEnd w:id="1"/>
      <w:r>
        <w:rPr/>
        <w:t> </w:t>
      </w:r>
    </w:p>
    <w:p>
      <w:pPr>
        <w:pStyle w:val="TextBody"/>
        <w:bidi w:val="0"/>
        <w:jc w:val="center"/>
        <w:rPr/>
      </w:pPr>
      <w:bookmarkStart w:id="2" w:name="fis_top_of_document"/>
      <w:bookmarkStart w:id="3" w:name="fis_form"/>
      <w:bookmarkStart w:id="4" w:name="eolpage1"/>
      <w:bookmarkStart w:id="5" w:name="zk1313846_htm"/>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For the month of October,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Form 20-F ☒ Form 40-F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6" w:name="fis_signatures"/>
      <w:bookmarkStart w:id="7" w:name="eolpage3"/>
      <w:bookmarkEnd w:id="6"/>
      <w:bookmarkEnd w:id="7"/>
      <w:r>
        <w:rPr>
          <w:rFonts w:ascii="Times New Roman" w:hAnsi="Times New Roman"/>
          <w:b/>
          <w:color w:val="000000"/>
          <w:sz w:val="20"/>
        </w:rPr>
        <w:t>INFORMATION CONTAINED IN THIS REPORT ON FORM 6-K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2026, AIR Global PLC (the “Company”) issued a press release announcing the establishment of a capital return framework, including a dividend policy and a share repurchase program, a copy of which is furnished as Exhibit 99.1 hereto.</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15, 2026</w:t>
      </w:r>
    </w:p>
    <w:p>
      <w:pPr>
        <w:pStyle w:val="TextBody"/>
        <w:bidi w:val="0"/>
        <w:jc w:val="left"/>
        <w:rPr/>
      </w:pPr>
      <w:r>
        <w:rPr/>
        <w:t> </w:t>
      </w:r>
    </w:p>
    <w:tbl>
      <w:tblPr>
        <w:tblW w:w="2788" w:type="dxa"/>
        <w:jc w:val="left"/>
        <w:tblInd w:w="0" w:type="dxa"/>
        <w:tblLayout w:type="fixed"/>
        <w:tblCellMar>
          <w:top w:w="28" w:type="dxa"/>
          <w:left w:w="28" w:type="dxa"/>
          <w:bottom w:w="28" w:type="dxa"/>
          <w:right w:w="28" w:type="dxa"/>
        </w:tblCellMar>
      </w:tblPr>
      <w:tblGrid>
        <w:gridCol w:w="571"/>
        <w:gridCol w:w="146"/>
        <w:gridCol w:w="207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AIR Global PLC</w:t>
            </w:r>
          </w:p>
        </w:tc>
      </w:tr>
      <w:tr>
        <w:trPr/>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 </w:t>
            </w:r>
            <w:r>
              <w:rPr>
                <w:rFonts w:ascii="Times New Roman" w:hAnsi="Times New Roman"/>
                <w:color w:val="000000"/>
                <w:sz w:val="20"/>
              </w:rPr>
              <w:t>Stuart Brazier</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8" w:name="ftr"/>
      <w:bookmarkStart w:id="9" w:name="glftr"/>
      <w:bookmarkEnd w:id="8"/>
      <w:bookmarkEnd w:id="9"/>
      <w:r>
        <w:rPr>
          <w:rFonts w:ascii="Times New Roman" w:hAnsi="Times New Roman"/>
          <w:b/>
          <w:color w:val="000000"/>
          <w:sz w:val="20"/>
        </w:rPr>
        <w:t>EXHIBIT INDEX</w:t>
      </w:r>
    </w:p>
    <w:p>
      <w:pPr>
        <w:pStyle w:val="TextBody"/>
        <w:bidi w:val="0"/>
        <w:jc w:val="left"/>
        <w:rPr/>
      </w:pPr>
      <w:r>
        <w:rPr/>
        <w:t> </w:t>
      </w:r>
    </w:p>
    <w:tbl>
      <w:tblPr>
        <w:tblW w:w="5623" w:type="dxa"/>
        <w:jc w:val="left"/>
        <w:tblInd w:w="0" w:type="dxa"/>
        <w:tblLayout w:type="fixed"/>
        <w:tblCellMar>
          <w:top w:w="28" w:type="dxa"/>
          <w:left w:w="28" w:type="dxa"/>
          <w:bottom w:w="28" w:type="dxa"/>
          <w:right w:w="28" w:type="dxa"/>
        </w:tblCellMar>
      </w:tblPr>
      <w:tblGrid>
        <w:gridCol w:w="736"/>
        <w:gridCol w:w="146"/>
        <w:gridCol w:w="474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pPr>
            <w:hyperlink w:anchor="ck0002097725-ex99_1.htm">
              <w:r>
                <w:rPr>
                  <w:rStyle w:val="InternetLink"/>
                  <w:rFonts w:ascii="Times New Roman" w:hAnsi="Times New Roman"/>
                  <w:color w:val="0000FF"/>
                  <w:sz w:val="20"/>
                  <w:u w:val="single"/>
                </w:rPr>
                <w:t>Press release of AIR Global PLC, dated October 15, 2026</w:t>
              </w:r>
            </w:hyperlink>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10" w:name="ck0002097725-ex99_1.htm"/>
      <w:bookmarkStart w:id="11" w:name="ksck0002097725ex99_1"/>
      <w:bookmarkEnd w:id="10"/>
      <w:bookmarkEnd w:id="11"/>
      <w:r>
        <w:rPr>
          <w:rFonts w:ascii="Aptos;sans-serif" w:hAnsi="Aptos;sans-serif"/>
          <w:b/>
          <w:color w:val="000000"/>
          <w:sz w:val="24"/>
        </w:rPr>
        <w:t>Exhibit 99.1</w:t>
      </w:r>
      <w:r>
        <w:br w:type="page"/>
      </w:r>
    </w:p>
    <w:p>
      <w:pPr>
        <w:pStyle w:val="TextBody"/>
        <w:bidi w:val="0"/>
        <w:jc w:val="righ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AIR Announces Capital Return Framework</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Establishes Quarterly Dividend Policy and Share Repurchase Program Supported by Strong Cash Flow Generation</w:t>
      </w:r>
    </w:p>
    <w:p>
      <w:pPr>
        <w:pStyle w:val="TextBody"/>
        <w:bidi w:val="0"/>
        <w:spacing w:before="240" w:after="283"/>
        <w:jc w:val="left"/>
        <w:rPr>
          <w:rFonts w:ascii="Aptos;sans-serif" w:hAnsi="Aptos;sans-serif"/>
          <w:sz w:val="24"/>
        </w:rPr>
      </w:pPr>
      <w:r>
        <w:rPr>
          <w:rFonts w:ascii="Aptos;sans-serif" w:hAnsi="Aptos;sans-serif"/>
          <w:b/>
          <w:color w:val="000000"/>
          <w:sz w:val="24"/>
        </w:rPr>
        <w:t>Dubai, UAE, 15 October 2026,</w:t>
      </w:r>
      <w:r>
        <w:rPr>
          <w:rFonts w:ascii="Aptos;sans-serif" w:hAnsi="Aptos;sans-serif"/>
          <w:color w:val="000000"/>
          <w:sz w:val="24"/>
        </w:rPr>
        <w:t xml:space="preserve"> – AIR today announced the establishment of a formal capital return framework designed to enhance shareholder returns while maintaining investment capacity for growth and preserving a disciplined balance sheet.</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Under the framework, the Company intends to return capital to shareholders through a combination of regular cash dividends and share repurchases, supported by the Company's strong and growing equity free cash flow generation.</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Quarterly Dividend Policy</w:t>
      </w:r>
    </w:p>
    <w:p>
      <w:pPr>
        <w:pStyle w:val="TextBody"/>
        <w:bidi w:val="0"/>
        <w:jc w:val="left"/>
        <w:rPr>
          <w:rFonts w:ascii="Aptos;sans-serif" w:hAnsi="Aptos;sans-serif"/>
          <w:color w:val="000000"/>
          <w:sz w:val="24"/>
        </w:rPr>
      </w:pPr>
      <w:r>
        <w:rPr>
          <w:rFonts w:ascii="Aptos;sans-serif" w:hAnsi="Aptos;sans-serif"/>
          <w:color w:val="000000"/>
          <w:sz w:val="24"/>
        </w:rPr>
        <w:t>AIR intends to initiate an annual cash dividend policy. For the 2027 fiscal year, the Company’s Board of Directors has approved a cash dividend of US$0.28 per share, to be paid in quarterly installments commencing with the reporting of our results for the first quarter of 2027, which are expected to be announced in May 2027.</w:t>
      </w:r>
    </w:p>
    <w:p>
      <w:pPr>
        <w:pStyle w:val="TextBody"/>
        <w:bidi w:val="0"/>
        <w:jc w:val="left"/>
        <w:rPr>
          <w:rFonts w:ascii="Aptos;sans-serif" w:hAnsi="Aptos;sans-serif"/>
          <w:sz w:val="24"/>
        </w:rPr>
      </w:pPr>
      <w:r>
        <w:rPr>
          <w:rFonts w:ascii="Aptos;sans-serif" w:hAnsi="Aptos;sans-serif"/>
          <w:color w:val="000000"/>
          <w:sz w:val="24"/>
        </w:rPr>
        <w:t xml:space="preserve">Following the introduction of the dividend, AIR expects to maintain a </w:t>
      </w:r>
      <w:r>
        <w:rPr>
          <w:rFonts w:ascii="Aptos;sans-serif" w:hAnsi="Aptos;sans-serif"/>
          <w:b/>
          <w:color w:val="000000"/>
          <w:sz w:val="24"/>
        </w:rPr>
        <w:t>progressive dividend policy</w:t>
      </w:r>
      <w:r>
        <w:rPr>
          <w:rFonts w:ascii="Aptos;sans-serif" w:hAnsi="Aptos;sans-serif"/>
          <w:color w:val="000000"/>
          <w:sz w:val="24"/>
        </w:rPr>
        <w:t>, with potential future dividend growth supported by earnings expansion, free cash flow generation and the Company's financial position.</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Share Repurchase Program</w:t>
      </w:r>
    </w:p>
    <w:p>
      <w:pPr>
        <w:pStyle w:val="TextBody"/>
        <w:bidi w:val="0"/>
        <w:jc w:val="left"/>
        <w:rPr>
          <w:rFonts w:ascii="Aptos;sans-serif" w:hAnsi="Aptos;sans-serif"/>
          <w:sz w:val="24"/>
        </w:rPr>
      </w:pPr>
      <w:r>
        <w:rPr>
          <w:rFonts w:ascii="Aptos;sans-serif" w:hAnsi="Aptos;sans-serif"/>
          <w:color w:val="000000"/>
          <w:sz w:val="24"/>
        </w:rPr>
        <w:t xml:space="preserve">In addition, AIR intends to undertake </w:t>
      </w:r>
      <w:r>
        <w:rPr>
          <w:rFonts w:ascii="Aptos;sans-serif" w:hAnsi="Aptos;sans-serif"/>
          <w:b/>
          <w:color w:val="000000"/>
          <w:sz w:val="24"/>
        </w:rPr>
        <w:t>up to US$100 million of share repurchases by December 2029</w:t>
      </w:r>
      <w:r>
        <w:rPr>
          <w:rFonts w:ascii="Aptos;sans-serif" w:hAnsi="Aptos;sans-serif"/>
          <w:color w:val="000000"/>
          <w:sz w:val="24"/>
        </w:rPr>
        <w:t>, subject to market conditions, capital requirements and applicable regulatory approvals.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share repurchase program would provide AIR with flexibility to return excess capital to shareholders while continuing to invest in the Company's strategic growth priorities. The program is expected to comply with the requirements of Rule 10b-18 under the U.S. Securities Act of 1933, as amended.</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Disciplined Financial Policy</w:t>
      </w:r>
    </w:p>
    <w:p>
      <w:pPr>
        <w:pStyle w:val="TextBody"/>
        <w:bidi w:val="0"/>
        <w:jc w:val="left"/>
        <w:rPr>
          <w:rFonts w:ascii="Aptos;sans-serif" w:hAnsi="Aptos;sans-serif"/>
          <w:sz w:val="24"/>
        </w:rPr>
      </w:pPr>
      <w:r>
        <w:rPr>
          <w:rFonts w:ascii="Aptos;sans-serif" w:hAnsi="Aptos;sans-serif"/>
          <w:color w:val="000000"/>
          <w:sz w:val="24"/>
        </w:rPr>
        <w:t xml:space="preserve">AIR expects to fund shareholder distributions from its </w:t>
      </w:r>
      <w:r>
        <w:rPr>
          <w:rFonts w:ascii="Aptos;sans-serif" w:hAnsi="Aptos;sans-serif"/>
          <w:b/>
          <w:color w:val="000000"/>
          <w:sz w:val="24"/>
        </w:rPr>
        <w:t>equity free cash flow</w:t>
      </w:r>
      <w:r>
        <w:rPr>
          <w:rFonts w:ascii="Aptos;sans-serif" w:hAnsi="Aptos;sans-serif"/>
          <w:color w:val="000000"/>
          <w:sz w:val="24"/>
        </w:rPr>
        <w:t>, which it defines as: Cash flow from operations, less capital expenditures (property, plant and equipment and intangible assets), less interest expense, and less principal and interest payments on lease liabilities.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Company believes this approach aligns shareholder returns directly with sustainable cash generation and supports long-term value creation.</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Continued Balance Sheet Strengthening</w:t>
      </w:r>
    </w:p>
    <w:p>
      <w:pPr>
        <w:pStyle w:val="TextBody"/>
        <w:bidi w:val="0"/>
        <w:jc w:val="left"/>
        <w:rPr>
          <w:rFonts w:ascii="Aptos;sans-serif" w:hAnsi="Aptos;sans-serif"/>
          <w:color w:val="000000"/>
          <w:sz w:val="24"/>
        </w:rPr>
      </w:pPr>
      <w:r>
        <w:rPr>
          <w:rFonts w:ascii="Aptos;sans-serif" w:hAnsi="Aptos;sans-serif"/>
          <w:color w:val="000000"/>
          <w:sz w:val="24"/>
        </w:rPr>
        <w:t>AIR expects continued growth in Adjusted EBITDA to support both shareholder returns and further balance sheet strengthening.</w:t>
      </w:r>
    </w:p>
    <w:p>
      <w:pPr>
        <w:pStyle w:val="TextBody"/>
        <w:bidi w:val="0"/>
        <w:spacing w:before="240" w:after="283"/>
        <w:jc w:val="left"/>
        <w:rPr>
          <w:rFonts w:ascii="Aptos;sans-serif" w:hAnsi="Aptos;sans-serif"/>
          <w:sz w:val="24"/>
        </w:rPr>
      </w:pPr>
      <w:r>
        <w:rPr>
          <w:rFonts w:ascii="Aptos;sans-serif" w:hAnsi="Aptos;sans-serif"/>
          <w:color w:val="000000"/>
          <w:sz w:val="24"/>
        </w:rPr>
        <w:t xml:space="preserve">As a result, the Company anticipates that net leverage will decline over time and expects leverage to be </w:t>
      </w:r>
      <w:r>
        <w:rPr>
          <w:rFonts w:ascii="Aptos;sans-serif" w:hAnsi="Aptos;sans-serif"/>
          <w:b/>
          <w:color w:val="000000"/>
          <w:sz w:val="24"/>
        </w:rPr>
        <w:t>at or below 2.0x by December 2027</w:t>
      </w:r>
      <w:r>
        <w:rPr>
          <w:rFonts w:ascii="Aptos;sans-serif" w:hAnsi="Aptos;sans-serif"/>
          <w:color w:val="000000"/>
          <w:sz w:val="24"/>
        </w:rPr>
        <w:t>, while continuing to invest behind its growth strategy and capital allocation priorities.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Stuart Brazier, Chief Executive Officer of AIR, said:</w:t>
      </w:r>
    </w:p>
    <w:p>
      <w:pPr>
        <w:pStyle w:val="TextBody"/>
        <w:bidi w:val="0"/>
        <w:jc w:val="left"/>
        <w:rPr>
          <w:rFonts w:ascii="Aptos;sans-serif" w:hAnsi="Aptos;sans-serif"/>
          <w:i/>
          <w:color w:val="000000"/>
          <w:sz w:val="24"/>
        </w:rPr>
      </w:pPr>
      <w:r>
        <w:rPr>
          <w:rFonts w:ascii="Aptos;sans-serif" w:hAnsi="Aptos;sans-serif"/>
          <w:i/>
          <w:color w:val="000000"/>
          <w:sz w:val="24"/>
        </w:rPr>
        <w:t>"The establishment of our capital return framework reflects the significant progress AIR has made in transforming the business, strengthening profitability and increasing cash generation. As we continue to scale our reduced-risk product portfolio and deliver sustainable growth, we are committed to balancing investment in attractive growth opportunities with meaningful returns to shareholders. Today's announcement underscores our confidence in AIR's long-term prospects and our focus on creating durable shareholder value."</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Bassem Lotfy, Chief Financial Officer of AIR, added:</w:t>
      </w:r>
    </w:p>
    <w:p>
      <w:pPr>
        <w:pStyle w:val="TextBody"/>
        <w:bidi w:val="0"/>
        <w:jc w:val="left"/>
        <w:rPr>
          <w:rFonts w:ascii="Aptos;sans-serif" w:hAnsi="Aptos;sans-serif"/>
          <w:i/>
          <w:color w:val="000000"/>
          <w:sz w:val="24"/>
        </w:rPr>
      </w:pPr>
      <w:r>
        <w:rPr>
          <w:rFonts w:ascii="Aptos;sans-serif" w:hAnsi="Aptos;sans-serif"/>
          <w:i/>
          <w:color w:val="000000"/>
          <w:sz w:val="24"/>
        </w:rPr>
        <w:t>"Our capital allocation framework is designed to support long-term value creation through a disciplined approach to deploying capital. We expect shareholder returns to be funded from the Company's equity free cash flow generation, while maintaining financial flexibility and continuing to strengthen the balance sheet. With continued growth in Adjusted EBITDA, we expect leverage to decline over time and to be at or below 2.0x by December 2027."</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Capital Allocation Priorities</w:t>
      </w:r>
    </w:p>
    <w:p>
      <w:pPr>
        <w:pStyle w:val="TextBody"/>
        <w:bidi w:val="0"/>
        <w:jc w:val="left"/>
        <w:rPr>
          <w:rFonts w:ascii="Aptos;sans-serif" w:hAnsi="Aptos;sans-serif"/>
          <w:color w:val="000000"/>
          <w:sz w:val="24"/>
        </w:rPr>
      </w:pPr>
      <w:r>
        <w:rPr>
          <w:rFonts w:ascii="Aptos;sans-serif" w:hAnsi="Aptos;sans-serif"/>
          <w:color w:val="000000"/>
          <w:sz w:val="24"/>
        </w:rPr>
        <w:t>AIR's capital allocation framework remains focused on:</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1.</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Investing in high-return organic growth opportunities;</w:t>
      </w:r>
    </w:p>
    <w:p>
      <w:pPr>
        <w:pStyle w:val="TextBody"/>
        <w:bidi w:val="0"/>
        <w:spacing w:before="0" w:after="0"/>
        <w:jc w:val="left"/>
        <w:rPr>
          <w:rFonts w:ascii="Aptos;sans-serif" w:hAnsi="Aptos;sans-serif"/>
          <w:color w:val="000000"/>
          <w:sz w:val="24"/>
        </w:rPr>
      </w:pPr>
      <w:r>
        <w:rPr>
          <w:rFonts w:ascii="Aptos;sans-serif" w:hAnsi="Aptos;sans-serif"/>
          <w:color w:val="000000"/>
          <w:sz w:val="24"/>
        </w:rPr>
        <w:t>2.</w:t>
      </w:r>
    </w:p>
    <w:p>
      <w:pPr>
        <w:pStyle w:val="TextBody"/>
        <w:bidi w:val="0"/>
        <w:spacing w:before="0" w:after="0"/>
        <w:jc w:val="left"/>
        <w:rPr>
          <w:rFonts w:ascii="Aptos;sans-serif" w:hAnsi="Aptos;sans-serif"/>
          <w:color w:val="000000"/>
          <w:sz w:val="24"/>
        </w:rPr>
      </w:pPr>
      <w:r>
        <w:rPr>
          <w:rFonts w:ascii="Aptos;sans-serif" w:hAnsi="Aptos;sans-serif"/>
          <w:color w:val="000000"/>
          <w:sz w:val="24"/>
        </w:rPr>
        <w:t>Supporting the expansion of the Company's reduced-risk product portfolio;</w:t>
      </w:r>
    </w:p>
    <w:p>
      <w:pPr>
        <w:pStyle w:val="TextBody"/>
        <w:bidi w:val="0"/>
        <w:spacing w:before="0" w:after="0"/>
        <w:jc w:val="left"/>
        <w:rPr>
          <w:rFonts w:ascii="Aptos;sans-serif" w:hAnsi="Aptos;sans-serif"/>
          <w:color w:val="000000"/>
          <w:sz w:val="24"/>
        </w:rPr>
      </w:pPr>
      <w:r>
        <w:rPr>
          <w:rFonts w:ascii="Aptos;sans-serif" w:hAnsi="Aptos;sans-serif"/>
          <w:color w:val="000000"/>
          <w:sz w:val="24"/>
        </w:rPr>
        <w:t>3.</w:t>
      </w:r>
    </w:p>
    <w:p>
      <w:pPr>
        <w:pStyle w:val="TextBody"/>
        <w:bidi w:val="0"/>
        <w:spacing w:before="0" w:after="0"/>
        <w:jc w:val="left"/>
        <w:rPr>
          <w:rFonts w:ascii="Aptos;sans-serif" w:hAnsi="Aptos;sans-serif"/>
          <w:color w:val="000000"/>
          <w:sz w:val="24"/>
        </w:rPr>
      </w:pPr>
      <w:r>
        <w:rPr>
          <w:rFonts w:ascii="Aptos;sans-serif" w:hAnsi="Aptos;sans-serif"/>
          <w:color w:val="000000"/>
          <w:sz w:val="24"/>
        </w:rPr>
        <w:t>Maintaining a strong balance sheet and prudent leverage profile; and</w:t>
      </w:r>
    </w:p>
    <w:p>
      <w:pPr>
        <w:pStyle w:val="TextBody"/>
        <w:bidi w:val="0"/>
        <w:spacing w:before="0" w:after="0"/>
        <w:jc w:val="left"/>
        <w:rPr>
          <w:rFonts w:ascii="Aptos;sans-serif" w:hAnsi="Aptos;sans-serif"/>
          <w:color w:val="000000"/>
          <w:sz w:val="24"/>
        </w:rPr>
      </w:pPr>
      <w:r>
        <w:rPr>
          <w:rFonts w:ascii="Aptos;sans-serif" w:hAnsi="Aptos;sans-serif"/>
          <w:color w:val="000000"/>
          <w:sz w:val="24"/>
        </w:rPr>
        <w:t>4.</w:t>
      </w:r>
    </w:p>
    <w:p>
      <w:pPr>
        <w:pStyle w:val="TextBody"/>
        <w:bidi w:val="0"/>
        <w:jc w:val="left"/>
        <w:rPr>
          <w:rFonts w:ascii="Aptos;sans-serif" w:hAnsi="Aptos;sans-serif"/>
          <w:color w:val="000000"/>
          <w:sz w:val="24"/>
        </w:rPr>
      </w:pPr>
      <w:r>
        <w:rPr>
          <w:rFonts w:ascii="Aptos;sans-serif" w:hAnsi="Aptos;sans-serif"/>
          <w:color w:val="000000"/>
          <w:sz w:val="24"/>
        </w:rPr>
        <w:t>Returning excess capital to shareholders through dividends and share repurchases.</w:t>
      </w:r>
    </w:p>
    <w:p>
      <w:pPr>
        <w:pStyle w:val="TextBody"/>
        <w:bidi w:val="0"/>
        <w:spacing w:before="240" w:after="283"/>
        <w:jc w:val="left"/>
        <w:rPr/>
      </w:pPr>
      <w:r>
        <w:rPr/>
        <w:t> </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About AIR</w:t>
      </w:r>
    </w:p>
    <w:p>
      <w:pPr>
        <w:pStyle w:val="TextBody"/>
        <w:bidi w:val="0"/>
        <w:jc w:val="left"/>
        <w:rPr>
          <w:rFonts w:ascii="Aptos;sans-serif" w:hAnsi="Aptos;sans-serif"/>
          <w:color w:val="000000"/>
          <w:sz w:val="24"/>
        </w:rPr>
      </w:pPr>
      <w:r>
        <w:rPr>
          <w:rFonts w:ascii="Aptos;sans-serif" w:hAnsi="Aptos;sans-serif"/>
          <w:color w:val="000000"/>
          <w:sz w:val="24"/>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Nameless and Al Aseel (flavored shisha molasses) and Crown Switch (rechargeable pod vape system).</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By connecting brands, technology, science, and commercial partnerships, AIR is building a differentiated platform positioned to shape the future of adult consumer experiences.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This press release contains “forward</w:t>
        <w:noBreakHyphen/>
        <w:t>looking statements” within the meaning of the U.S. Private Securities Litigation Reform Act of 1995 and other U.S. federal securities laws. These forward-looking statements can generally be identified by the use of forward-looking terminology, including the terms “anticipate,” “believe,” “commit,” “contemplate,” “continue,” “designed,” “estimate,” “expect,” “intend,” “may,” “plan,” “predict,” “potential,” “seek,” “should,” “target,” “will,” “would,” or, in each case, their negative or other variations or comparable terminology. Forward-looking statements in this press release include, but are not limited to, statements regarding: AIR’s capital return framework; the amount, timing and payment of future dividends, including AIR’s progressive dividend policy; the amount and timing of share repurchases under AIR’s share repurchase program; the expected sources of funding for shareholder returns; the expected regulatory compliance of share repurchases; AIR’s equity free cash flow generation; expected growth in Adjusted EBITDA; AIR’s expected net leverage levels; AIR’s future financial performance; AIR’s capital allocation priorities; long-term shareholder value creation; and AIR’s strategy, market position and future business prospects.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Such forward</w:t>
        <w:noBreakHyphen/>
        <w:t>looking statements are based on available current market material and management’s expectations, beliefs and forecasts concerning future events impacting the Company. These statements are subject to risks and uncertainties that could cause actual results to differ materially from those expressed or implied by the forward</w:t>
        <w:noBreakHyphen/>
        <w:t>looking statements. Additionally, the declaration and payment of any future dividends remain subject to approval by AIR’s Board of Directors, and any future dividends and the execution of any share repurchases will depend on, among other things, AIR’s financial performance, market conditions, applicable legal and regulatory requirements and other factors.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Nothing in this press release should be regarded as a representation by the Company that the forward</w:t>
        <w:noBreakHyphen/>
        <w:t>looking statements will be achieved. Forward</w:t>
        <w:noBreakHyphen/>
        <w:t>looking statements speak only as of the date they are made, and the Company undertakes no obligation to update or revise any forward</w:t>
        <w:noBreakHyphen/>
        <w:t>looking statements, whether as a result of new information, future events, or otherwise, except as required by law.</w:t>
      </w:r>
    </w:p>
    <w:p>
      <w:pPr>
        <w:pStyle w:val="TextBody"/>
        <w:bidi w:val="0"/>
        <w:spacing w:before="240" w:after="283"/>
        <w:jc w:val="left"/>
        <w:rPr/>
      </w:pPr>
      <w:r>
        <w:rPr/>
        <w:t> </w:t>
      </w:r>
    </w:p>
    <w:p>
      <w:pPr>
        <w:pStyle w:val="TextBody"/>
        <w:bidi w:val="0"/>
        <w:jc w:val="both"/>
        <w:rPr>
          <w:rFonts w:ascii="Aptos;sans-serif" w:hAnsi="Aptos;sans-serif"/>
          <w:sz w:val="24"/>
        </w:rPr>
      </w:pPr>
      <w:r>
        <w:rPr>
          <w:rFonts w:ascii="Aptos;sans-serif" w:hAnsi="Aptos;sans-serif"/>
          <w:b/>
          <w:color w:val="000000"/>
          <w:sz w:val="24"/>
        </w:rPr>
        <w:t>Contacts</w:t>
      </w:r>
      <w:r>
        <w:rPr>
          <w:rFonts w:ascii="Aptos;sans-serif" w:hAnsi="Aptos;sans-serif"/>
          <w:color w:val="000000"/>
          <w:sz w:val="24"/>
        </w:rPr>
        <w:t xml:space="preserve"> </w:t>
      </w:r>
    </w:p>
    <w:p>
      <w:pPr>
        <w:pStyle w:val="TextBody"/>
        <w:bidi w:val="0"/>
        <w:jc w:val="both"/>
        <w:rPr>
          <w:rFonts w:ascii="Aptos;sans-serif" w:hAnsi="Aptos;sans-serif"/>
          <w:color w:val="000000"/>
          <w:sz w:val="24"/>
        </w:rPr>
      </w:pPr>
      <w:r>
        <w:rPr>
          <w:rFonts w:ascii="Aptos;sans-serif" w:hAnsi="Aptos;sans-serif"/>
          <w:color w:val="000000"/>
          <w:sz w:val="24"/>
        </w:rPr>
        <w:t xml:space="preserve">AIR Investor Relations: </w:t>
      </w:r>
    </w:p>
    <w:p>
      <w:pPr>
        <w:pStyle w:val="TextBody"/>
        <w:bidi w:val="0"/>
        <w:jc w:val="both"/>
        <w:rPr>
          <w:rFonts w:ascii="Aptos;sans-serif" w:hAnsi="Aptos;sans-serif"/>
          <w:color w:val="000000"/>
          <w:sz w:val="24"/>
        </w:rPr>
      </w:pPr>
      <w:r>
        <w:rPr>
          <w:rFonts w:ascii="Aptos;sans-serif" w:hAnsi="Aptos;sans-serif"/>
          <w:color w:val="000000"/>
          <w:sz w:val="24"/>
        </w:rPr>
        <w:t xml:space="preserve">Gaurav Jain: Gaurav.jain@air.global; +971-56-439-4296 </w:t>
      </w:r>
    </w:p>
    <w:p>
      <w:pPr>
        <w:pStyle w:val="TextBody"/>
        <w:bidi w:val="0"/>
        <w:jc w:val="both"/>
        <w:rPr>
          <w:rFonts w:ascii="Aptos;sans-serif" w:hAnsi="Aptos;sans-serif"/>
          <w:color w:val="000000"/>
          <w:sz w:val="24"/>
        </w:rPr>
      </w:pPr>
      <w:r>
        <w:rPr>
          <w:rFonts w:ascii="Aptos;sans-serif" w:hAnsi="Aptos;sans-serif"/>
          <w:color w:val="000000"/>
          <w:sz w:val="24"/>
        </w:rPr>
        <w:t>Anuja Shendye: a.shendye@air.global; +971-58-907-8782</w:t>
      </w:r>
    </w:p>
    <w:p>
      <w:pPr>
        <w:pStyle w:val="TextBody"/>
        <w:bidi w:val="0"/>
        <w:jc w:val="both"/>
        <w:rPr>
          <w:rFonts w:ascii="Aptos;sans-serif" w:hAnsi="Aptos;sans-serif"/>
          <w:color w:val="000000"/>
          <w:sz w:val="24"/>
        </w:rPr>
      </w:pPr>
      <w:r>
        <w:rPr>
          <w:rFonts w:ascii="Aptos;sans-serif" w:hAnsi="Aptos;sans-serif"/>
          <w:color w:val="000000"/>
          <w:sz w:val="24"/>
        </w:rPr>
        <w:t>investor@air.global</w:t>
      </w:r>
    </w:p>
    <w:p>
      <w:pPr>
        <w:pStyle w:val="TextBody"/>
        <w:bidi w:val="0"/>
        <w:jc w:val="both"/>
        <w:rPr/>
      </w:pPr>
      <w:r>
        <w:rPr/>
        <w:t> </w:t>
      </w:r>
    </w:p>
    <w:p>
      <w:pPr>
        <w:pStyle w:val="TextBody"/>
        <w:bidi w:val="0"/>
        <w:jc w:val="both"/>
        <w:rPr/>
      </w:pPr>
      <w:r>
        <w:rPr/>
        <w:t> </w:t>
      </w:r>
    </w:p>
    <w:p>
      <w:pPr>
        <w:pStyle w:val="TextBody"/>
        <w:bidi w:val="0"/>
        <w:jc w:val="both"/>
        <w:rPr>
          <w:rFonts w:ascii="Aptos;sans-serif" w:hAnsi="Aptos;sans-serif"/>
          <w:sz w:val="24"/>
        </w:rPr>
      </w:pPr>
      <w:r>
        <w:rPr>
          <w:rFonts w:ascii="Aptos;sans-serif" w:hAnsi="Aptos;sans-serif"/>
          <w:b/>
          <w:color w:val="000000"/>
          <w:sz w:val="24"/>
        </w:rPr>
        <w:t>AIR Media Relations:</w:t>
      </w:r>
      <w:r>
        <w:rPr>
          <w:rFonts w:ascii="Aptos;sans-serif" w:hAnsi="Aptos;sans-serif"/>
          <w:color w:val="000000"/>
          <w:sz w:val="24"/>
        </w:rPr>
        <w:t xml:space="preserve"> </w:t>
      </w:r>
    </w:p>
    <w:p>
      <w:pPr>
        <w:pStyle w:val="TextBody"/>
        <w:bidi w:val="0"/>
        <w:jc w:val="both"/>
        <w:rPr>
          <w:rFonts w:ascii="Aptos;sans-serif" w:hAnsi="Aptos;sans-serif"/>
          <w:color w:val="000000"/>
          <w:sz w:val="24"/>
        </w:rPr>
      </w:pPr>
      <w:r>
        <w:rPr>
          <w:rFonts w:ascii="Aptos;sans-serif" w:hAnsi="Aptos;sans-serif"/>
          <w:color w:val="000000"/>
          <w:sz w:val="24"/>
        </w:rPr>
        <w:t xml:space="preserve">ICR for AIR </w:t>
      </w:r>
    </w:p>
    <w:p>
      <w:pPr>
        <w:pStyle w:val="TextBody"/>
        <w:bidi w:val="0"/>
        <w:jc w:val="both"/>
        <w:rPr>
          <w:rFonts w:ascii="Aptos;sans-serif" w:hAnsi="Aptos;sans-serif"/>
          <w:color w:val="000000"/>
          <w:sz w:val="24"/>
        </w:rPr>
      </w:pPr>
      <w:r>
        <w:rPr>
          <w:rFonts w:ascii="Aptos;sans-serif" w:hAnsi="Aptos;sans-serif"/>
          <w:color w:val="000000"/>
          <w:sz w:val="24"/>
        </w:rPr>
        <w:t>For more information, email inquiries to AIRglobal@icrinc.com</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1254</Words>
  <Characters>7675</Characters>
  <CharactersWithSpaces>8895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