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6480" w:right="0" w:firstLine="720"/>
        <w:jc w:val="right"/>
        <w:rPr>
          <w:rFonts w:ascii="Times New Roman" w:hAnsi="Times New Roman"/>
          <w:sz w:val="20"/>
        </w:rPr>
      </w:pPr>
      <w:bookmarkStart w:id="0" w:name="424b3_-_harraden_repurch.htm"/>
      <w:bookmarkStart w:id="1" w:name="ks424b3__harraden_repurch"/>
      <w:bookmarkEnd w:id="0"/>
      <w:bookmarkEnd w:id="1"/>
      <w:r>
        <w:rPr>
          <w:rFonts w:ascii="Times New Roman" w:hAnsi="Times New Roman"/>
          <w:b/>
          <w:color w:val="000000"/>
          <w:sz w:val="20"/>
        </w:rPr>
        <w:t>Filed Pursuant to Rule 424(b)(3)</w:t>
      </w:r>
      <w:r>
        <w:rPr>
          <w:rFonts w:ascii="Times New Roman" w:hAnsi="Times New Roman"/>
          <w:color w:val="000000"/>
          <w:sz w:val="20"/>
        </w:rPr>
        <w:t xml:space="preserve"> </w:t>
      </w:r>
    </w:p>
    <w:p>
      <w:pPr>
        <w:pStyle w:val="TextBody"/>
        <w:bidi w:val="0"/>
        <w:ind w:left="7920" w:right="0" w:hanging="0"/>
        <w:jc w:val="right"/>
        <w:rPr>
          <w:rFonts w:ascii="Times New Roman" w:hAnsi="Times New Roman"/>
          <w:b/>
          <w:color w:val="000000"/>
          <w:sz w:val="20"/>
        </w:rPr>
      </w:pPr>
      <w:r>
        <w:rPr>
          <w:rFonts w:ascii="Times New Roman" w:hAnsi="Times New Roman"/>
          <w:b/>
          <w:color w:val="000000"/>
          <w:sz w:val="20"/>
        </w:rPr>
        <w:t>Registration No. 333-298609</w:t>
      </w:r>
    </w:p>
    <w:p>
      <w:pPr>
        <w:pStyle w:val="TextBody"/>
        <w:bidi w:val="0"/>
        <w:jc w:val="left"/>
        <w:rPr>
          <w:rFonts w:ascii="Times New Roman" w:hAnsi="Times New Roman"/>
          <w:b/>
          <w:color w:val="000000"/>
          <w:sz w:val="20"/>
        </w:rPr>
      </w:pPr>
      <w:r>
        <w:rPr>
          <w:rFonts w:ascii="Times New Roman" w:hAnsi="Times New Roman"/>
          <w:b/>
          <w:color w:val="000000"/>
          <w:sz w:val="20"/>
        </w:rPr>
        <w:t>Prospectus Supplement No. 1</w:t>
      </w:r>
    </w:p>
    <w:p>
      <w:pPr>
        <w:pStyle w:val="TextBody"/>
        <w:bidi w:val="0"/>
        <w:jc w:val="left"/>
        <w:rPr>
          <w:rFonts w:ascii="Times New Roman" w:hAnsi="Times New Roman"/>
          <w:b/>
          <w:color w:val="000000"/>
          <w:sz w:val="20"/>
        </w:rPr>
      </w:pPr>
      <w:r>
        <w:rPr>
          <w:rFonts w:ascii="Times New Roman" w:hAnsi="Times New Roman"/>
          <w:b/>
          <w:color w:val="000000"/>
          <w:sz w:val="20"/>
        </w:rPr>
        <w:t>(to Prospectus dated August 28, 2026)</w:t>
      </w:r>
    </w:p>
    <w:p>
      <w:pPr>
        <w:pStyle w:val="TextBody"/>
        <w:bidi w:val="0"/>
        <w:jc w:val="center"/>
        <w:rPr/>
      </w:pPr>
      <w:r>
        <w:rPr/>
        <w:drawing>
          <wp:inline distT="0" distB="0" distL="0" distR="0">
            <wp:extent cx="193357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33575" cy="666750"/>
                    </a:xfrm>
                    <a:prstGeom prst="rect">
                      <a:avLst/>
                    </a:prstGeom>
                  </pic:spPr>
                </pic:pic>
              </a:graphicData>
            </a:graphic>
          </wp:inline>
        </w:drawing>
      </w:r>
    </w:p>
    <w:p>
      <w:pPr>
        <w:pStyle w:val="TextBody"/>
        <w:bidi w:val="0"/>
        <w:spacing w:before="240" w:after="283"/>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UP TO 154,623,867 ORDINARY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AIR GLOBAL PLC</w:t>
      </w:r>
    </w:p>
    <w:p>
      <w:pPr>
        <w:pStyle w:val="TextBody"/>
        <w:bidi w:val="0"/>
        <w:spacing w:before="240" w:after="283"/>
        <w:ind w:left="0" w:right="0" w:firstLine="720"/>
        <w:jc w:val="both"/>
        <w:rPr>
          <w:rFonts w:ascii="Times New Roman" w:hAnsi="Times New Roman"/>
          <w:color w:val="000000"/>
          <w:sz w:val="20"/>
        </w:rPr>
      </w:pPr>
      <w:r>
        <w:rPr>
          <w:rFonts w:ascii="Times New Roman" w:hAnsi="Times New Roman"/>
          <w:color w:val="000000"/>
          <w:sz w:val="20"/>
        </w:rPr>
        <w:t>This prospectus supplement amends and supplements the prospectus dated August 28, 2026 (the “Prospectus”), which forms part of our registration statement on Form F-1 (No. 333-298609). This prospectus supplement is being filed to update, amend and supplement the information included in the Prospectus with the information contained in our Report on Form 6-K, furnished to the Securities and Exchange Commission (the “SEC”) on September 11, 2026 (the “Form 6-K”). Accordingly, we have attached the Form 6-K to this prospectus supplement.</w:t>
      </w:r>
    </w:p>
    <w:p>
      <w:pPr>
        <w:pStyle w:val="TextBody"/>
        <w:bidi w:val="0"/>
        <w:spacing w:before="240" w:after="283"/>
        <w:ind w:left="0" w:right="0" w:firstLine="720"/>
        <w:jc w:val="both"/>
        <w:rPr>
          <w:rFonts w:ascii="Times New Roman" w:hAnsi="Times New Roman"/>
          <w:color w:val="000000"/>
          <w:sz w:val="20"/>
        </w:rPr>
      </w:pPr>
      <w:r>
        <w:rPr>
          <w:rFonts w:ascii="Times New Roman" w:hAnsi="Times New Roman"/>
          <w:color w:val="000000"/>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pStyle w:val="TextBody"/>
        <w:bidi w:val="0"/>
        <w:spacing w:before="240" w:after="283"/>
        <w:ind w:left="0" w:right="0" w:firstLine="720"/>
        <w:jc w:val="both"/>
        <w:rPr>
          <w:rFonts w:ascii="Times New Roman" w:hAnsi="Times New Roman"/>
          <w:sz w:val="20"/>
        </w:rPr>
      </w:pPr>
      <w:r>
        <w:rPr>
          <w:rFonts w:ascii="Times New Roman" w:hAnsi="Times New Roman"/>
          <w:color w:val="000000"/>
          <w:sz w:val="20"/>
        </w:rPr>
        <w:t>Our ordinary shares are listed on the Nasdaq Global Market (“</w:t>
      </w:r>
      <w:r>
        <w:rPr>
          <w:rFonts w:ascii="Times New Roman" w:hAnsi="Times New Roman"/>
          <w:b/>
          <w:color w:val="1B1A18"/>
          <w:sz w:val="20"/>
        </w:rPr>
        <w:t>Nasdaq</w:t>
      </w:r>
      <w:r>
        <w:rPr>
          <w:rFonts w:ascii="Times New Roman" w:hAnsi="Times New Roman"/>
          <w:color w:val="000000"/>
          <w:sz w:val="20"/>
        </w:rPr>
        <w:t>”) under the symbol “AIIR.” On September 10, 2026, the last reported sale price of our ordinary shares as reported on Nasdaq was $7.68 per share.</w:t>
      </w:r>
    </w:p>
    <w:p>
      <w:pPr>
        <w:pStyle w:val="TextBody"/>
        <w:bidi w:val="0"/>
        <w:spacing w:before="240" w:after="283"/>
        <w:ind w:left="0" w:right="0" w:firstLine="720"/>
        <w:jc w:val="left"/>
        <w:rPr>
          <w:rFonts w:ascii="Times New Roman" w:hAnsi="Times New Roman"/>
          <w:sz w:val="20"/>
        </w:rPr>
      </w:pPr>
      <w:r>
        <w:rPr>
          <w:rFonts w:ascii="Times New Roman" w:hAnsi="Times New Roman"/>
          <w:b/>
          <w:color w:val="000000"/>
          <w:sz w:val="20"/>
        </w:rPr>
        <w:t xml:space="preserve">Investing in our securities involves a high degree of risk. See </w:t>
      </w:r>
      <w:r>
        <w:rPr>
          <w:rFonts w:ascii="Times New Roman" w:hAnsi="Times New Roman"/>
          <w:color w:val="000000"/>
          <w:sz w:val="20"/>
        </w:rPr>
        <w:t>“</w:t>
      </w:r>
      <w:r>
        <w:rPr>
          <w:rFonts w:ascii="Times New Roman" w:hAnsi="Times New Roman"/>
          <w:b/>
          <w:i/>
          <w:color w:val="1B1A18"/>
          <w:sz w:val="20"/>
        </w:rPr>
        <w:t>Risk Factors</w:t>
      </w:r>
      <w:r>
        <w:rPr>
          <w:rFonts w:ascii="Times New Roman" w:hAnsi="Times New Roman"/>
          <w:color w:val="000000"/>
          <w:sz w:val="20"/>
        </w:rPr>
        <w:t xml:space="preserve">” </w:t>
      </w:r>
      <w:r>
        <w:rPr>
          <w:rFonts w:ascii="Times New Roman" w:hAnsi="Times New Roman"/>
          <w:b/>
          <w:color w:val="000000"/>
          <w:sz w:val="20"/>
        </w:rPr>
        <w:t>beginning on page 7 of the Prospectus for a discussion of information that should be considered in connection with an investment in our securities.</w:t>
      </w:r>
    </w:p>
    <w:p>
      <w:pPr>
        <w:pStyle w:val="TextBody"/>
        <w:bidi w:val="0"/>
        <w:spacing w:before="240" w:after="283"/>
        <w:ind w:left="720" w:right="0" w:firstLine="720"/>
        <w:jc w:val="left"/>
        <w:rPr>
          <w:rFonts w:ascii="Times New Roman" w:hAnsi="Times New Roman"/>
          <w:b/>
          <w:color w:val="000000"/>
          <w:sz w:val="20"/>
        </w:rPr>
      </w:pPr>
      <w:r>
        <w:rPr>
          <w:rFonts w:ascii="Times New Roman" w:hAnsi="Times New Roman"/>
          <w:b/>
          <w:color w:val="000000"/>
          <w:sz w:val="20"/>
        </w:rPr>
        <w:t>Neither the SEC nor any state securities commission has approved or disapproved of these securities or passed upon the adequacy or accuracy of the Prospectus or this prospectus supplement. Any representation to the contrary is a criminal offense.</w:t>
      </w:r>
    </w:p>
    <w:p>
      <w:pPr>
        <w:pStyle w:val="TextBody"/>
        <w:bidi w:val="0"/>
        <w:spacing w:before="240" w:after="283"/>
        <w:jc w:val="center"/>
        <w:rPr>
          <w:rFonts w:ascii="Times New Roman" w:hAnsi="Times New Roman"/>
          <w:b/>
          <w:color w:val="1B1A18"/>
          <w:sz w:val="20"/>
        </w:rPr>
      </w:pPr>
      <w:r>
        <w:rPr>
          <w:rFonts w:ascii="Times New Roman" w:hAnsi="Times New Roman"/>
          <w:b/>
          <w:color w:val="1B1A18"/>
          <w:sz w:val="20"/>
        </w:rPr>
        <w:t>The date of this prospectus supplement is September 11, 2026.</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center"/>
        <w:rPr/>
      </w:pPr>
      <w:bookmarkStart w:id="2" w:name="zk1313846_htm"/>
      <w:bookmarkStart w:id="3" w:name="fis_form"/>
      <w:bookmarkStart w:id="4" w:name="eolpage1"/>
      <w:bookmarkStart w:id="5" w:name="fis_top_of_document"/>
      <w:bookmarkEnd w:id="2"/>
      <w:bookmarkEnd w:id="3"/>
      <w:bookmarkEnd w:id="4"/>
      <w:bookmarkEnd w:id="5"/>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6-K</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REPORT OF FOREIGN PRIVATE ISSUER 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For the month of September, 2026</w:t>
      </w:r>
    </w:p>
    <w:p>
      <w:pPr>
        <w:pStyle w:val="TextBody"/>
        <w:bidi w:val="0"/>
        <w:jc w:val="center"/>
        <w:rPr>
          <w:rFonts w:ascii="Times New Roman" w:hAnsi="Times New Roman"/>
          <w:color w:val="000000"/>
          <w:sz w:val="24"/>
        </w:rPr>
      </w:pPr>
      <w:r>
        <w:rPr>
          <w:rFonts w:ascii="Times New Roman" w:hAnsi="Times New Roman"/>
          <w:color w:val="000000"/>
          <w:sz w:val="24"/>
        </w:rPr>
        <w:t>Commission File Number: 001-43297</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AIR Global PLC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Festival Office Tower</w:t>
      </w:r>
    </w:p>
    <w:p>
      <w:pPr>
        <w:pStyle w:val="TextBody"/>
        <w:bidi w:val="0"/>
        <w:jc w:val="center"/>
        <w:rPr>
          <w:rFonts w:ascii="Times New Roman" w:hAnsi="Times New Roman"/>
          <w:b/>
          <w:color w:val="000000"/>
          <w:sz w:val="24"/>
        </w:rPr>
      </w:pPr>
      <w:r>
        <w:rPr>
          <w:rFonts w:ascii="Times New Roman" w:hAnsi="Times New Roman"/>
          <w:b/>
          <w:color w:val="000000"/>
          <w:sz w:val="24"/>
        </w:rPr>
        <w:t>Dubai Festival City, 7th Floor</w:t>
      </w:r>
    </w:p>
    <w:p>
      <w:pPr>
        <w:pStyle w:val="TextBody"/>
        <w:bidi w:val="0"/>
        <w:jc w:val="center"/>
        <w:rPr>
          <w:rFonts w:ascii="Times New Roman" w:hAnsi="Times New Roman"/>
          <w:b/>
          <w:color w:val="000000"/>
          <w:sz w:val="24"/>
        </w:rPr>
      </w:pPr>
      <w:r>
        <w:rPr>
          <w:rFonts w:ascii="Times New Roman" w:hAnsi="Times New Roman"/>
          <w:b/>
          <w:color w:val="000000"/>
          <w:sz w:val="24"/>
        </w:rPr>
        <w:t>Dubai</w:t>
      </w:r>
    </w:p>
    <w:p>
      <w:pPr>
        <w:pStyle w:val="TextBody"/>
        <w:bidi w:val="0"/>
        <w:jc w:val="center"/>
        <w:rPr>
          <w:rFonts w:ascii="Times New Roman" w:hAnsi="Times New Roman"/>
          <w:b/>
          <w:color w:val="000000"/>
          <w:sz w:val="24"/>
        </w:rPr>
      </w:pPr>
      <w:r>
        <w:rPr>
          <w:rFonts w:ascii="Times New Roman" w:hAnsi="Times New Roman"/>
          <w:b/>
          <w:color w:val="000000"/>
          <w:sz w:val="24"/>
        </w:rPr>
        <w:t>United Arab Emirates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jc w:val="left"/>
        <w:rPr/>
      </w:pPr>
      <w:r>
        <w:rPr/>
        <w:t> </w:t>
      </w:r>
    </w:p>
    <w:p>
      <w:pPr>
        <w:pStyle w:val="TextBody"/>
        <w:bidi w:val="0"/>
        <w:ind w:left="0" w:right="0" w:firstLine="720"/>
        <w:jc w:val="both"/>
        <w:rPr>
          <w:rFonts w:ascii="Times New Roman" w:hAnsi="Times New Roman"/>
          <w:color w:val="000000"/>
          <w:sz w:val="24"/>
        </w:rPr>
      </w:pPr>
      <w:r>
        <w:rPr>
          <w:rFonts w:ascii="Times New Roman" w:hAnsi="Times New Roman"/>
          <w:color w:val="000000"/>
          <w:sz w:val="24"/>
        </w:rPr>
        <w:t>Indicate by check mark whether the registrant files or will file annual reports under cover of Form 20-F or Form 40-F.</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Form 20-F  Form 40-F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spacing w:before="170" w:after="283"/>
        <w:jc w:val="center"/>
        <w:rPr/>
      </w:pPr>
      <w:bookmarkStart w:id="6" w:name="eolpage2"/>
      <w:bookmarkEnd w:id="6"/>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bookmarkStart w:id="7" w:name="eolpage3"/>
      <w:bookmarkStart w:id="8" w:name="fis_signatures"/>
      <w:bookmarkEnd w:id="7"/>
      <w:bookmarkEnd w:id="8"/>
      <w:r>
        <w:rPr/>
        <w:t> </w:t>
      </w:r>
    </w:p>
    <w:p>
      <w:pPr>
        <w:pStyle w:val="TextBody"/>
        <w:bidi w:val="0"/>
        <w:jc w:val="center"/>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jc w:val="both"/>
        <w:rPr/>
      </w:pPr>
      <w:r>
        <w:rPr/>
        <w:t> </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As previously reported, on May 11, 2026, AIR Global PLC (the “Company”) entered into a forward purchase agreement with Harraden Circle Investors, LP, Harraden Circle Special Opportunities, LP, Harraden Circle Strategic Investments, LP and Harraden Circle Concentrated, LP (collectively, “Harraden”), pursuant to which Harraden purchased for a prepaid cash amount 5,000,000 Class A ordinary shares of Cantor Equity Partners III, Inc. (“CAEP”), which shares were exchanged for Company ordinary shares upon the consummation of the business combination between the Company and CAEP (the “Forward Purchase Agreement”). On September 10, 2026 (the “Settlement Date”), the Company fully settled the Forward Purchase Agreement with Harraden. With respect to the 5,000,000 shares initially subject to the Forward Purchase Agreement, Harraden sold 2,970 shares on the open market and paid to the Company on the Settlement Date $31,152.02 therefor. On the Settlement Date, Harraden returned the remaining 4,997,030 shares (the “Recycled Shares”) to the Company, which cancelled the Recycled Shares upon their receipt. As a result, all obligations under the Forward Purchase Agreement have been fully satisfied.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September 11, 2026</w:t>
      </w:r>
    </w:p>
    <w:p>
      <w:pPr>
        <w:pStyle w:val="TextBody"/>
        <w:bidi w:val="0"/>
        <w:ind w:left="5040" w:right="0" w:hanging="0"/>
        <w:jc w:val="both"/>
        <w:rPr>
          <w:rFonts w:ascii="Times New Roman" w:hAnsi="Times New Roman"/>
          <w:b/>
          <w:color w:val="000000"/>
          <w:sz w:val="20"/>
        </w:rPr>
      </w:pPr>
      <w:r>
        <w:rPr>
          <w:rFonts w:ascii="Times New Roman" w:hAnsi="Times New Roman"/>
          <w:b/>
          <w:color w:val="000000"/>
          <w:sz w:val="20"/>
        </w:rPr>
        <w:t>AIR Global PLC</w:t>
      </w:r>
    </w:p>
    <w:p>
      <w:pPr>
        <w:pStyle w:val="TextBody"/>
        <w:bidi w:val="0"/>
        <w:ind w:left="5040" w:right="0" w:hanging="0"/>
        <w:jc w:val="both"/>
        <w:rPr/>
      </w:pPr>
      <w:r>
        <w:rPr/>
        <w:t> </w:t>
      </w:r>
    </w:p>
    <w:p>
      <w:pPr>
        <w:pStyle w:val="TextBody"/>
        <w:bidi w:val="0"/>
        <w:ind w:left="5040" w:right="0" w:hanging="0"/>
        <w:jc w:val="both"/>
        <w:rPr>
          <w:rFonts w:ascii="Times New Roman" w:hAnsi="Times New Roman"/>
          <w:sz w:val="20"/>
        </w:rPr>
      </w:pPr>
      <w:r>
        <w:rPr>
          <w:rFonts w:ascii="Times New Roman" w:hAnsi="Times New Roman"/>
          <w:color w:val="000000"/>
          <w:sz w:val="20"/>
        </w:rPr>
        <w:t xml:space="preserve">By: </w:t>
      </w:r>
      <w:r>
        <w:rPr>
          <w:rFonts w:ascii="Times New Roman" w:hAnsi="Times New Roman"/>
          <w:i/>
          <w:color w:val="000000"/>
          <w:sz w:val="20"/>
          <w:u w:val="single"/>
        </w:rPr>
        <w:t xml:space="preserve">/s/ </w:t>
      </w:r>
      <w:r>
        <w:rPr>
          <w:rFonts w:ascii="Times New Roman" w:hAnsi="Times New Roman"/>
          <w:color w:val="000000"/>
          <w:sz w:val="20"/>
          <w:u w:val="single"/>
        </w:rPr>
        <w:t>Stuart Brazier</w:t>
      </w:r>
      <w:r>
        <w:rPr>
          <w:rFonts w:ascii="Times New Roman" w:hAnsi="Times New Roman"/>
          <w:color w:val="000000"/>
          <w:sz w:val="20"/>
        </w:rPr>
        <w:t xml:space="preserve"> </w:t>
      </w:r>
    </w:p>
    <w:p>
      <w:pPr>
        <w:pStyle w:val="TextBody"/>
        <w:bidi w:val="0"/>
        <w:ind w:left="5490" w:right="0" w:hanging="0"/>
        <w:jc w:val="both"/>
        <w:rPr>
          <w:rFonts w:ascii="Times New Roman" w:hAnsi="Times New Roman"/>
          <w:color w:val="000000"/>
          <w:sz w:val="20"/>
        </w:rPr>
      </w:pPr>
      <w:r>
        <w:rPr>
          <w:rFonts w:ascii="Times New Roman" w:hAnsi="Times New Roman"/>
          <w:color w:val="000000"/>
          <w:sz w:val="20"/>
        </w:rPr>
        <w:t>Name: Stuart Brazier</w:t>
      </w:r>
    </w:p>
    <w:p>
      <w:pPr>
        <w:pStyle w:val="TextBody"/>
        <w:bidi w:val="0"/>
        <w:ind w:left="5490" w:right="0" w:hanging="0"/>
        <w:jc w:val="both"/>
        <w:rPr>
          <w:rFonts w:ascii="Times New Roman" w:hAnsi="Times New Roman"/>
          <w:color w:val="000000"/>
          <w:sz w:val="20"/>
        </w:rPr>
      </w:pPr>
      <w:r>
        <w:rPr>
          <w:rFonts w:ascii="Times New Roman" w:hAnsi="Times New Roman"/>
          <w:color w:val="000000"/>
          <w:sz w:val="20"/>
        </w:rPr>
        <w:t>Title: Chief Executive Officer</w:t>
      </w:r>
    </w:p>
    <w:p>
      <w:pPr>
        <w:pStyle w:val="TextBody"/>
        <w:bidi w:val="0"/>
        <w:spacing w:before="0" w:after="20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646</Words>
  <Characters>3619</Characters>
  <CharactersWithSpaces>4262</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