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ir_-_pricing_prosupp.htm"/>
      <w:bookmarkStart w:id="1" w:name="ksair__pricing_prosupp"/>
      <w:bookmarkEnd w:id="0"/>
      <w:bookmarkEnd w:id="1"/>
      <w:r>
        <w:rPr/>
        <w:t> </w:t>
      </w:r>
    </w:p>
    <w:p>
      <w:pPr>
        <w:pStyle w:val="TextBody"/>
        <w:bidi w:val="0"/>
        <w:ind w:left="6480" w:right="0" w:firstLine="720"/>
        <w:jc w:val="right"/>
        <w:rPr>
          <w:rFonts w:ascii="Times New Roman" w:hAnsi="Times New Roman"/>
          <w:sz w:val="20"/>
        </w:rPr>
      </w:pPr>
      <w:r>
        <w:rPr>
          <w:rFonts w:ascii="Times New Roman" w:hAnsi="Times New Roman"/>
          <w:b/>
          <w:color w:val="000000"/>
          <w:sz w:val="20"/>
        </w:rPr>
        <w:t>Filed Pursuant to Rule 424(b)(3)</w:t>
      </w:r>
      <w:r>
        <w:rPr>
          <w:rFonts w:ascii="Times New Roman" w:hAnsi="Times New Roman"/>
          <w:color w:val="000000"/>
          <w:sz w:val="20"/>
        </w:rPr>
        <w:t xml:space="preserve"> </w:t>
      </w:r>
    </w:p>
    <w:p>
      <w:pPr>
        <w:pStyle w:val="TextBody"/>
        <w:bidi w:val="0"/>
        <w:ind w:left="7920" w:right="0" w:hanging="0"/>
        <w:jc w:val="right"/>
        <w:rPr>
          <w:rFonts w:ascii="Times New Roman" w:hAnsi="Times New Roman"/>
          <w:b/>
          <w:color w:val="000000"/>
          <w:sz w:val="20"/>
        </w:rPr>
      </w:pPr>
      <w:r>
        <w:rPr>
          <w:rFonts w:ascii="Times New Roman" w:hAnsi="Times New Roman"/>
          <w:b/>
          <w:color w:val="000000"/>
          <w:sz w:val="20"/>
        </w:rPr>
        <w:t>Registration No. 333-298609</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3</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28,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UP TO 154,623,867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AIR GLOBAL PLC</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amends and supplements the prospectus dated August 28, 2026 (the “Prospectus”), which forms part of our registration statement on Form F-1 (No. 333-298609). This prospectus supplement is being filed to update, amend and supplement the information included in the Prospectus with the information contained in our Report on Form 6-K, furnished to the Securities and Exchange Commission (the “SEC”) on September 23, 2026 (the “Form 6-K”). Accordingly, we have attached the Form 6-K to this prospectus supplement.</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0"/>
        </w:rPr>
        <w:t>Our ordinary shares are listed on the Nasdaq Global Market (“</w:t>
      </w:r>
      <w:r>
        <w:rPr>
          <w:rFonts w:ascii="Times New Roman" w:hAnsi="Times New Roman"/>
          <w:b/>
          <w:color w:val="1B1A18"/>
          <w:sz w:val="20"/>
        </w:rPr>
        <w:t>Nasdaq</w:t>
      </w:r>
      <w:r>
        <w:rPr>
          <w:rFonts w:ascii="Times New Roman" w:hAnsi="Times New Roman"/>
          <w:color w:val="000000"/>
          <w:sz w:val="20"/>
        </w:rPr>
        <w:t>”) under the symbol “AIIR.” On September 22, 2026, the last reported sale price of our ordinary shares as reported on Nasdaq was $7.49 per share.</w:t>
      </w:r>
    </w:p>
    <w:p>
      <w:pPr>
        <w:pStyle w:val="TextBody"/>
        <w:bidi w:val="0"/>
        <w:spacing w:before="240" w:after="283"/>
        <w:ind w:left="0" w:right="0" w:firstLine="720"/>
        <w:jc w:val="left"/>
        <w:rPr>
          <w:rFonts w:ascii="Times New Roman" w:hAnsi="Times New Roman"/>
          <w:sz w:val="20"/>
        </w:rPr>
      </w:pPr>
      <w:r>
        <w:rPr>
          <w:rFonts w:ascii="Times New Roman" w:hAnsi="Times New Roman"/>
          <w:b/>
          <w:color w:val="000000"/>
          <w:sz w:val="20"/>
        </w:rPr>
        <w:t xml:space="preserve">Investing in our securities involves a high degree of risk. See </w:t>
      </w:r>
      <w:r>
        <w:rPr>
          <w:rFonts w:ascii="Times New Roman" w:hAnsi="Times New Roman"/>
          <w:color w:val="000000"/>
          <w:sz w:val="20"/>
        </w:rPr>
        <w:t>“</w:t>
      </w:r>
      <w:r>
        <w:rPr>
          <w:rFonts w:ascii="Times New Roman" w:hAnsi="Times New Roman"/>
          <w:b/>
          <w:i/>
          <w:color w:val="1B1A18"/>
          <w:sz w:val="20"/>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for a discussion of information that should be considered in connection with an investment in our securities.</w:t>
      </w:r>
    </w:p>
    <w:p>
      <w:pPr>
        <w:pStyle w:val="TextBody"/>
        <w:bidi w:val="0"/>
        <w:spacing w:before="240" w:after="283"/>
        <w:ind w:left="720" w:right="0" w:firstLine="720"/>
        <w:jc w:val="left"/>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40" w:after="283"/>
        <w:jc w:val="center"/>
        <w:rPr>
          <w:rFonts w:ascii="Times New Roman" w:hAnsi="Times New Roman"/>
          <w:b/>
          <w:color w:val="1B1A18"/>
          <w:sz w:val="20"/>
        </w:rPr>
      </w:pPr>
      <w:r>
        <w:rPr>
          <w:rFonts w:ascii="Times New Roman" w:hAnsi="Times New Roman"/>
          <w:b/>
          <w:color w:val="1B1A18"/>
          <w:sz w:val="20"/>
        </w:rPr>
        <w:t>The date of this prospectus supplement is September 23,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September,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70" w:after="283"/>
        <w:jc w:val="center"/>
        <w:rPr/>
      </w:pPr>
      <w:bookmarkStart w:id="2" w:name="eolpage2"/>
      <w:bookmarkStart w:id="3" w:name="fis_signatures"/>
      <w:bookmarkStart w:id="4" w:name="eolpage3"/>
      <w:bookmarkEnd w:id="2"/>
      <w:bookmarkEnd w:id="3"/>
      <w:bookmarkEnd w:id="4"/>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200" w:after="283"/>
        <w:ind w:left="0" w:right="0" w:firstLine="720"/>
        <w:jc w:val="both"/>
        <w:rPr>
          <w:rFonts w:ascii="Times New Roman" w:hAnsi="Times New Roman"/>
          <w:color w:val="000000"/>
          <w:sz w:val="20"/>
        </w:rPr>
      </w:pPr>
      <w:r>
        <w:rPr>
          <w:rFonts w:ascii="Times New Roman" w:hAnsi="Times New Roman"/>
          <w:color w:val="000000"/>
          <w:sz w:val="20"/>
        </w:rPr>
        <w:t>On September 23, 2026, AIR Limited, a direct, wholly owned subsidiary of AIR Global PLC (the “Company”) issued a press release announcing the pricing of its offering of senior unsecured notes pursuant to Rule 144A and Regulation S under the Securities Act of 1933, as amended. A copy of the press release is furnished hereto as Exhibit 99.1.</w:t>
      </w:r>
    </w:p>
    <w:p>
      <w:pPr>
        <w:pStyle w:val="TextBody"/>
        <w:bidi w:val="0"/>
        <w:spacing w:before="0" w:after="20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23, 2026</w:t>
      </w:r>
    </w:p>
    <w:p>
      <w:pPr>
        <w:pStyle w:val="TextBody"/>
        <w:bidi w:val="0"/>
        <w:ind w:left="5040" w:right="0" w:hanging="0"/>
        <w:jc w:val="both"/>
        <w:rPr/>
      </w:pPr>
      <w:r>
        <w:rPr/>
        <w:t> </w:t>
      </w:r>
    </w:p>
    <w:tbl>
      <w:tblPr>
        <w:tblW w:w="3123" w:type="dxa"/>
        <w:jc w:val="left"/>
        <w:tblInd w:w="0" w:type="dxa"/>
        <w:tblLayout w:type="fixed"/>
        <w:tblCellMar>
          <w:top w:w="28" w:type="dxa"/>
          <w:left w:w="28" w:type="dxa"/>
          <w:bottom w:w="28" w:type="dxa"/>
          <w:right w:w="28" w:type="dxa"/>
        </w:tblCellMar>
      </w:tblPr>
      <w:tblGrid>
        <w:gridCol w:w="421"/>
        <w:gridCol w:w="631"/>
        <w:gridCol w:w="2071"/>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ind w:left="5040" w:right="0" w:hanging="0"/>
        <w:jc w:val="both"/>
        <w:rPr/>
      </w:pPr>
      <w:r>
        <w:rPr/>
        <w:t> </w:t>
      </w:r>
    </w:p>
    <w:p>
      <w:pPr>
        <w:pStyle w:val="TextBody"/>
        <w:bidi w:val="0"/>
        <w:spacing w:before="0" w:after="20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9469"/>
      </w:tblGrid>
      <w:tr>
        <w:trPr/>
        <w:tc>
          <w:tcPr>
            <w:tcW w:w="736" w:type="dxa"/>
            <w:tcBorders/>
            <w:vAlign w:val="center"/>
          </w:tcPr>
          <w:p>
            <w:pPr>
              <w:pStyle w:val="TableContents"/>
              <w:bidi w:val="0"/>
              <w:spacing w:before="0" w:after="283"/>
              <w:jc w:val="left"/>
              <w:rPr>
                <w:sz w:val="4"/>
                <w:szCs w:val="4"/>
              </w:rPr>
            </w:pPr>
            <w:r>
              <w:rPr>
                <w:sz w:val="4"/>
                <w:szCs w:val="4"/>
              </w:rPr>
            </w:r>
          </w:p>
        </w:tc>
        <w:tc>
          <w:tcPr>
            <w:tcW w:w="9469"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9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issued by AIR Limited on September 23, 2026 announcing the pricing of its offering of senior unsecured notes.</w:t>
            </w:r>
          </w:p>
        </w:tc>
      </w:tr>
    </w:tbl>
    <w:p>
      <w:pPr>
        <w:pStyle w:val="TextBody"/>
        <w:bidi w:val="0"/>
        <w:spacing w:before="0" w:after="20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b/>
          <w:color w:val="000000"/>
          <w:sz w:val="24"/>
        </w:rPr>
      </w:pPr>
      <w:r>
        <w:rPr>
          <w:rFonts w:ascii="Verdana;sans-serif" w:hAnsi="Verdana;sans-serif"/>
          <w:b/>
          <w:color w:val="000000"/>
          <w:sz w:val="24"/>
        </w:rPr>
        <w:t>Exhibit 99.1</w:t>
      </w:r>
    </w:p>
    <w:p>
      <w:pPr>
        <w:pStyle w:val="TextBody"/>
        <w:bidi w:val="0"/>
        <w:jc w:val="right"/>
        <w:rPr/>
      </w:pPr>
      <w:r>
        <w:rPr/>
        <w:t> </w:t>
      </w:r>
    </w:p>
    <w:p>
      <w:pPr>
        <w:pStyle w:val="TextBody"/>
        <w:bidi w:val="0"/>
        <w:jc w:val="right"/>
        <w:rPr/>
      </w:pPr>
      <w:r>
        <w:rPr/>
        <w:drawing>
          <wp:inline distT="0" distB="0" distL="0" distR="0">
            <wp:extent cx="12954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Heading1"/>
        <w:bidi w:val="0"/>
        <w:jc w:val="right"/>
        <w:rPr/>
      </w:pPr>
      <w:r>
        <w:rPr/>
        <w:t> </w:t>
      </w:r>
    </w:p>
    <w:p>
      <w:pPr>
        <w:pStyle w:val="Heading1"/>
        <w:bidi w:val="0"/>
        <w:jc w:val="right"/>
        <w:rPr/>
      </w:pPr>
      <w:r>
        <w:rPr/>
        <w:t> </w:t>
      </w:r>
    </w:p>
    <w:p>
      <w:pPr>
        <w:pStyle w:val="Heading1"/>
        <w:bidi w:val="0"/>
        <w:jc w:val="right"/>
        <w:rPr>
          <w:rFonts w:ascii="Times New Roman" w:hAnsi="Times New Roman"/>
          <w:sz w:val="24"/>
        </w:rPr>
      </w:pPr>
      <w:r>
        <w:rPr>
          <w:rFonts w:ascii="Verdana;sans-serif" w:hAnsi="Verdana;sans-serif"/>
          <w:color w:val="000000"/>
          <w:sz w:val="24"/>
        </w:rPr>
        <w:t>PRESS</w:t>
      </w:r>
      <w:r>
        <w:rPr>
          <w:rFonts w:ascii="Times New Roman" w:hAnsi="Times New Roman"/>
          <w:color w:val="000000"/>
          <w:sz w:val="24"/>
        </w:rPr>
        <w:t xml:space="preserve"> </w:t>
      </w:r>
      <w:r>
        <w:rPr>
          <w:rFonts w:ascii="Verdana;sans-serif" w:hAnsi="Verdana;sans-serif"/>
          <w:color w:val="000000"/>
          <w:sz w:val="24"/>
        </w:rPr>
        <w:t>RELEASE</w:t>
      </w:r>
    </w:p>
    <w:p>
      <w:pPr>
        <w:pStyle w:val="TextBody"/>
        <w:bidi w:val="0"/>
        <w:spacing w:before="240" w:after="283"/>
        <w:jc w:val="center"/>
        <w:rPr>
          <w:rFonts w:ascii="Times New Roman" w:hAnsi="Times New Roman"/>
          <w:sz w:val="28"/>
        </w:rPr>
      </w:pPr>
      <w:r>
        <w:rPr>
          <w:rFonts w:ascii="Verdana;sans-serif" w:hAnsi="Verdana;sans-serif"/>
          <w:b/>
          <w:color w:val="000000"/>
          <w:sz w:val="28"/>
        </w:rPr>
        <w:t>AIR Limited</w:t>
      </w:r>
      <w:r>
        <w:rPr>
          <w:rFonts w:ascii="Times New Roman" w:hAnsi="Times New Roman"/>
          <w:color w:val="000000"/>
          <w:sz w:val="28"/>
        </w:rPr>
        <w:t xml:space="preserve"> </w:t>
      </w:r>
      <w:r>
        <w:rPr>
          <w:rFonts w:ascii="Verdana;sans-serif" w:hAnsi="Verdana;sans-serif"/>
          <w:b/>
          <w:color w:val="000000"/>
          <w:sz w:val="28"/>
        </w:rPr>
        <w:t>Successfully</w:t>
      </w:r>
      <w:r>
        <w:rPr>
          <w:rFonts w:ascii="Times New Roman" w:hAnsi="Times New Roman"/>
          <w:color w:val="000000"/>
          <w:sz w:val="28"/>
        </w:rPr>
        <w:t xml:space="preserve"> </w:t>
      </w:r>
      <w:r>
        <w:rPr>
          <w:rFonts w:ascii="Verdana;sans-serif" w:hAnsi="Verdana;sans-serif"/>
          <w:b/>
          <w:color w:val="000000"/>
          <w:sz w:val="28"/>
        </w:rPr>
        <w:t>Prices</w:t>
      </w:r>
      <w:r>
        <w:rPr>
          <w:rFonts w:ascii="Times New Roman" w:hAnsi="Times New Roman"/>
          <w:color w:val="000000"/>
          <w:sz w:val="28"/>
        </w:rPr>
        <w:t xml:space="preserve"> </w:t>
      </w:r>
      <w:r>
        <w:rPr>
          <w:rFonts w:ascii="Verdana;sans-serif" w:hAnsi="Verdana;sans-serif"/>
          <w:b/>
          <w:color w:val="000000"/>
          <w:sz w:val="28"/>
        </w:rPr>
        <w:t>U.S.$ 425,000,000 bond</w:t>
      </w:r>
    </w:p>
    <w:p>
      <w:pPr>
        <w:pStyle w:val="TextBody"/>
        <w:bidi w:val="0"/>
        <w:spacing w:before="240" w:after="283"/>
        <w:jc w:val="both"/>
        <w:rPr>
          <w:rFonts w:ascii="Verdana;sans-serif" w:hAnsi="Verdana;sans-serif"/>
          <w:sz w:val="24"/>
        </w:rPr>
      </w:pPr>
      <w:r>
        <w:rPr>
          <w:rFonts w:ascii="Verdana;sans-serif" w:hAnsi="Verdana;sans-serif"/>
          <w:b/>
          <w:i/>
          <w:color w:val="000000"/>
          <w:sz w:val="24"/>
        </w:rPr>
        <w:t>DUBAI, United Arab Emirates - September</w:t>
      </w:r>
      <w:r>
        <w:rPr>
          <w:rFonts w:ascii="Verdana;sans-serif" w:hAnsi="Verdana;sans-serif"/>
          <w:color w:val="000000"/>
          <w:sz w:val="24"/>
        </w:rPr>
        <w:t xml:space="preserve"> </w:t>
      </w:r>
      <w:r>
        <w:rPr>
          <w:rFonts w:ascii="Verdana;sans-serif" w:hAnsi="Verdana;sans-serif"/>
          <w:b/>
          <w:color w:val="000000"/>
          <w:sz w:val="24"/>
        </w:rPr>
        <w:t xml:space="preserve">23, </w:t>
      </w:r>
      <w:r>
        <w:rPr>
          <w:rFonts w:ascii="Verdana;sans-serif" w:hAnsi="Verdana;sans-serif"/>
          <w:b/>
          <w:i/>
          <w:color w:val="000000"/>
          <w:sz w:val="24"/>
        </w:rPr>
        <w:t>2026</w:t>
      </w:r>
      <w:r>
        <w:rPr>
          <w:rFonts w:ascii="Verdana;sans-serif" w:hAnsi="Verdana;sans-serif"/>
          <w:color w:val="000000"/>
          <w:sz w:val="24"/>
        </w:rPr>
        <w:t xml:space="preserve"> </w:t>
      </w:r>
      <w:r>
        <w:rPr>
          <w:rFonts w:ascii="Verdana;sans-serif" w:hAnsi="Verdana;sans-serif"/>
          <w:b/>
          <w:color w:val="000000"/>
          <w:sz w:val="24"/>
        </w:rPr>
        <w:t xml:space="preserve">- </w:t>
      </w:r>
      <w:r>
        <w:rPr>
          <w:rFonts w:ascii="Verdana;sans-serif" w:hAnsi="Verdana;sans-serif"/>
          <w:color w:val="000000"/>
          <w:sz w:val="24"/>
        </w:rPr>
        <w:t>AIR Limited (the “</w:t>
      </w:r>
      <w:r>
        <w:rPr>
          <w:rFonts w:ascii="Verdana;sans-serif" w:hAnsi="Verdana;sans-serif"/>
          <w:b/>
          <w:color w:val="000000"/>
          <w:sz w:val="24"/>
        </w:rPr>
        <w:t>Issuer</w:t>
      </w:r>
      <w:r>
        <w:rPr>
          <w:rFonts w:ascii="Verdana;sans-serif" w:hAnsi="Verdana;sans-serif"/>
          <w:color w:val="000000"/>
          <w:sz w:val="24"/>
        </w:rPr>
        <w:t>”), a direct wholly owned subsidiary of AIR Global PLC (Nasdaq: AIIR) (the “</w:t>
      </w:r>
      <w:r>
        <w:rPr>
          <w:rFonts w:ascii="Verdana;sans-serif" w:hAnsi="Verdana;sans-serif"/>
          <w:b/>
          <w:color w:val="000000"/>
          <w:sz w:val="24"/>
        </w:rPr>
        <w:t>Company</w:t>
      </w:r>
      <w:r>
        <w:rPr>
          <w:rFonts w:ascii="Verdana;sans-serif" w:hAnsi="Verdana;sans-serif"/>
          <w:color w:val="000000"/>
          <w:sz w:val="24"/>
        </w:rPr>
        <w:t>” or “</w:t>
      </w:r>
      <w:r>
        <w:rPr>
          <w:rFonts w:ascii="Verdana;sans-serif" w:hAnsi="Verdana;sans-serif"/>
          <w:b/>
          <w:color w:val="000000"/>
          <w:sz w:val="24"/>
        </w:rPr>
        <w:t>AIR</w:t>
      </w:r>
      <w:r>
        <w:rPr>
          <w:rFonts w:ascii="Verdana;sans-serif" w:hAnsi="Verdana;sans-serif"/>
          <w:color w:val="000000"/>
          <w:sz w:val="24"/>
        </w:rPr>
        <w:t>”), has priced senior unsecured notes in an aggregate principal amount of U.S.$ 425,000,000 (the “</w:t>
      </w:r>
      <w:r>
        <w:rPr>
          <w:rFonts w:ascii="Verdana;sans-serif" w:hAnsi="Verdana;sans-serif"/>
          <w:b/>
          <w:color w:val="000000"/>
          <w:sz w:val="24"/>
        </w:rPr>
        <w:t>Notes</w:t>
      </w:r>
      <w:r>
        <w:rPr>
          <w:rFonts w:ascii="Verdana;sans-serif" w:hAnsi="Verdana;sans-serif"/>
          <w:color w:val="000000"/>
          <w:sz w:val="24"/>
        </w:rPr>
        <w:t>”). The Notes have a term of 5 years, maturing in 2031, and a coupon of 7.875% per annum. The Notes will be guaranteed on a senior basis by AIR and certain of the Issuer’s subsidiaries. The Issuer expects to use the gross proceeds from the offering of the Notes (the “</w:t>
      </w:r>
      <w:r>
        <w:rPr>
          <w:rFonts w:ascii="Verdana;sans-serif" w:hAnsi="Verdana;sans-serif"/>
          <w:b/>
          <w:color w:val="000000"/>
          <w:sz w:val="24"/>
        </w:rPr>
        <w:t>Offering</w:t>
      </w:r>
      <w:r>
        <w:rPr>
          <w:rFonts w:ascii="Verdana;sans-serif" w:hAnsi="Verdana;sans-serif"/>
          <w:color w:val="000000"/>
          <w:sz w:val="24"/>
        </w:rPr>
        <w:t>”) (i) to repay amounts outstanding under its term loan facility and revolving credit facility, including any accrued and unpaid interest, premiums, fees and expenses payable in connection with such repayment, and (ii) for general corporate purposes, including the payment of fees and expenses incurred in connection with the Offering. The Offering is expected to settle on or around October 1, 2026, subject to customary closing conditions.</w:t>
      </w:r>
    </w:p>
    <w:p>
      <w:pPr>
        <w:pStyle w:val="TextBody"/>
        <w:bidi w:val="0"/>
        <w:spacing w:before="240" w:after="283"/>
        <w:jc w:val="both"/>
        <w:rPr>
          <w:rFonts w:ascii="Verdana;sans-serif" w:hAnsi="Verdana;sans-serif"/>
          <w:sz w:val="24"/>
        </w:rPr>
      </w:pPr>
      <w:r>
        <w:rPr>
          <w:rFonts w:ascii="Verdana;sans-serif" w:hAnsi="Verdana;sans-serif"/>
          <w:b/>
          <w:color w:val="000000"/>
          <w:sz w:val="24"/>
        </w:rPr>
        <w:t>About AIR</w:t>
      </w:r>
      <w:r>
        <w:rPr>
          <w:rFonts w:ascii="Verdana;sans-serif" w:hAnsi="Verdana;sans-serif"/>
          <w:color w:val="000000"/>
          <w:sz w:val="24"/>
        </w:rPr>
        <w:t xml:space="preserve"> </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By connecting brands, technology, science, and commercial partnerships, AIR is building a differentiated platform positioned to shape the future of adult consumer experiences.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240" w:after="283"/>
        <w:jc w:val="left"/>
        <w:rPr>
          <w:rFonts w:ascii="Verdana;sans-serif" w:hAnsi="Verdana;sans-serif"/>
          <w:b/>
          <w:color w:val="000000"/>
          <w:sz w:val="24"/>
        </w:rPr>
      </w:pPr>
      <w:r>
        <w:rPr>
          <w:rFonts w:ascii="Verdana;sans-serif" w:hAnsi="Verdana;sans-serif"/>
          <w:b/>
          <w:color w:val="000000"/>
          <w:sz w:val="24"/>
        </w:rPr>
        <w:t>Disclaimer</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referred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herein</w:t>
      </w:r>
      <w:r>
        <w:rPr>
          <w:rFonts w:ascii="Times New Roman" w:hAnsi="Times New Roman"/>
          <w:color w:val="000000"/>
          <w:sz w:val="24"/>
        </w:rPr>
        <w:t xml:space="preserve"> </w:t>
      </w:r>
      <w:r>
        <w:rPr>
          <w:rFonts w:ascii="Verdana;sans-serif" w:hAnsi="Verdana;sans-serif"/>
          <w:color w:val="000000"/>
          <w:sz w:val="24"/>
        </w:rPr>
        <w:t>have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been,</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will</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registered</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U.S.</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1933,</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U.S.</w:t>
      </w:r>
      <w:r>
        <w:rPr>
          <w:rFonts w:ascii="Times New Roman" w:hAnsi="Times New Roman"/>
          <w:color w:val="000000"/>
          <w:sz w:val="24"/>
        </w:rPr>
        <w:t xml:space="preserve"> </w:t>
      </w:r>
      <w:r>
        <w:rPr>
          <w:rFonts w:ascii="Verdana;sans-serif" w:hAnsi="Verdana;sans-serif"/>
          <w:b/>
          <w:color w:val="000000"/>
          <w:sz w:val="24"/>
        </w:rPr>
        <w:t>Securities</w:t>
      </w:r>
      <w:r>
        <w:rPr>
          <w:rFonts w:ascii="Times New Roman" w:hAnsi="Times New Roman"/>
          <w:color w:val="000000"/>
          <w:sz w:val="24"/>
        </w:rPr>
        <w:t xml:space="preserve"> </w:t>
      </w:r>
      <w:r>
        <w:rPr>
          <w:rFonts w:ascii="Verdana;sans-serif" w:hAnsi="Verdana;sans-serif"/>
          <w:b/>
          <w:color w:val="000000"/>
          <w:sz w:val="24"/>
        </w:rPr>
        <w:t>Act</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laws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States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other</w:t>
      </w:r>
      <w:r>
        <w:rPr>
          <w:rFonts w:ascii="Times New Roman" w:hAnsi="Times New Roman"/>
          <w:color w:val="000000"/>
          <w:sz w:val="24"/>
        </w:rPr>
        <w:t xml:space="preserve"> </w:t>
      </w:r>
      <w:r>
        <w:rPr>
          <w:rFonts w:ascii="Verdana;sans-serif" w:hAnsi="Verdana;sans-serif"/>
          <w:color w:val="000000"/>
          <w:sz w:val="24"/>
        </w:rPr>
        <w:t>jurisdiction</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States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account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benefit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U.S.</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except</w:t>
      </w:r>
      <w:r>
        <w:rPr>
          <w:rFonts w:ascii="Times New Roman" w:hAnsi="Times New Roman"/>
          <w:color w:val="000000"/>
          <w:sz w:val="24"/>
        </w:rPr>
        <w:t xml:space="preserve"> </w:t>
      </w:r>
      <w:r>
        <w:rPr>
          <w:rFonts w:ascii="Verdana;sans-serif" w:hAnsi="Verdana;sans-serif"/>
          <w:color w:val="000000"/>
          <w:sz w:val="24"/>
        </w:rPr>
        <w:t>pursuant</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w:t>
      </w:r>
      <w:r>
        <w:rPr>
          <w:rFonts w:ascii="Times New Roman" w:hAnsi="Times New Roman"/>
          <w:color w:val="000000"/>
          <w:sz w:val="24"/>
        </w:rPr>
        <w:t xml:space="preserve"> </w:t>
      </w:r>
      <w:r>
        <w:rPr>
          <w:rFonts w:ascii="Verdana;sans-serif" w:hAnsi="Verdana;sans-serif"/>
          <w:color w:val="000000"/>
          <w:sz w:val="24"/>
        </w:rPr>
        <w:t>exemption</w:t>
      </w:r>
      <w:r>
        <w:rPr>
          <w:rFonts w:ascii="Times New Roman" w:hAnsi="Times New Roman"/>
          <w:color w:val="000000"/>
          <w:sz w:val="24"/>
        </w:rPr>
        <w:t xml:space="preserve"> </w:t>
      </w:r>
      <w:r>
        <w:rPr>
          <w:rFonts w:ascii="Verdana;sans-serif" w:hAnsi="Verdana;sans-serif"/>
          <w:color w:val="000000"/>
          <w:sz w:val="24"/>
        </w:rPr>
        <w:t>from,</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transaction</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subject</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registration</w:t>
      </w:r>
      <w:r>
        <w:rPr>
          <w:rFonts w:ascii="Times New Roman" w:hAnsi="Times New Roman"/>
          <w:color w:val="000000"/>
          <w:sz w:val="24"/>
        </w:rPr>
        <w:t xml:space="preserve"> </w:t>
      </w:r>
      <w:r>
        <w:rPr>
          <w:rFonts w:ascii="Verdana;sans-serif" w:hAnsi="Verdana;sans-serif"/>
          <w:color w:val="000000"/>
          <w:sz w:val="24"/>
        </w:rPr>
        <w:t>requirements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U.S.</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applicable</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local</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laws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other</w:t>
      </w:r>
      <w:r>
        <w:rPr>
          <w:rFonts w:ascii="Times New Roman" w:hAnsi="Times New Roman"/>
          <w:color w:val="000000"/>
          <w:sz w:val="24"/>
        </w:rPr>
        <w:t xml:space="preserve"> </w:t>
      </w:r>
      <w:r>
        <w:rPr>
          <w:rFonts w:ascii="Verdana;sans-serif" w:hAnsi="Verdana;sans-serif"/>
          <w:color w:val="000000"/>
          <w:sz w:val="24"/>
        </w:rPr>
        <w:t>jurisdictions.</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referred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herein</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being</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public</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European</w:t>
      </w:r>
      <w:r>
        <w:rPr>
          <w:rFonts w:ascii="Times New Roman" w:hAnsi="Times New Roman"/>
          <w:color w:val="000000"/>
          <w:sz w:val="24"/>
        </w:rPr>
        <w:t xml:space="preserve"> </w:t>
      </w:r>
      <w:r>
        <w:rPr>
          <w:rFonts w:ascii="Verdana;sans-serif" w:hAnsi="Verdana;sans-serif"/>
          <w:color w:val="000000"/>
          <w:sz w:val="24"/>
        </w:rPr>
        <w:t>Economic</w:t>
      </w:r>
      <w:r>
        <w:rPr>
          <w:rFonts w:ascii="Times New Roman" w:hAnsi="Times New Roman"/>
          <w:color w:val="000000"/>
          <w:sz w:val="24"/>
        </w:rPr>
        <w:t xml:space="preserve"> </w:t>
      </w:r>
      <w:r>
        <w:rPr>
          <w:rFonts w:ascii="Verdana;sans-serif" w:hAnsi="Verdana;sans-serif"/>
          <w:color w:val="000000"/>
          <w:sz w:val="24"/>
        </w:rPr>
        <w:t>Area</w:t>
      </w:r>
      <w:r>
        <w:rPr>
          <w:rFonts w:ascii="Times New Roman" w:hAnsi="Times New Roman"/>
          <w:color w:val="000000"/>
          <w:sz w:val="24"/>
        </w:rPr>
        <w:t xml:space="preserve"> </w:t>
      </w:r>
      <w:r>
        <w:rPr>
          <w:rFonts w:ascii="Verdana;sans-serif" w:hAnsi="Verdana;sans-serif"/>
          <w:color w:val="000000"/>
          <w:sz w:val="24"/>
        </w:rPr>
        <w:t>(“</w:t>
      </w:r>
      <w:r>
        <w:rPr>
          <w:rFonts w:ascii="Verdana;sans-serif" w:hAnsi="Verdana;sans-serif"/>
          <w:b/>
          <w:color w:val="000000"/>
          <w:sz w:val="24"/>
        </w:rPr>
        <w:t>EEA</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2017/1129</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EU</w:t>
      </w:r>
      <w:r>
        <w:rPr>
          <w:rFonts w:ascii="Times New Roman" w:hAnsi="Times New Roman"/>
          <w:color w:val="000000"/>
          <w:sz w:val="24"/>
        </w:rPr>
        <w:t xml:space="preserve"> </w:t>
      </w:r>
      <w:r>
        <w:rPr>
          <w:rFonts w:ascii="Verdana;sans-serif" w:hAnsi="Verdana;sans-serif"/>
          <w:b/>
          <w:color w:val="000000"/>
          <w:sz w:val="24"/>
        </w:rPr>
        <w:t>Prospectus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directed</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at</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Prospectus</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must</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acted</w:t>
      </w:r>
      <w:r>
        <w:rPr>
          <w:rFonts w:ascii="Times New Roman" w:hAnsi="Times New Roman"/>
          <w:color w:val="000000"/>
          <w:sz w:val="24"/>
        </w:rPr>
        <w:t xml:space="preserve"> </w:t>
      </w:r>
      <w:r>
        <w:rPr>
          <w:rFonts w:ascii="Verdana;sans-serif" w:hAnsi="Verdana;sans-serif"/>
          <w:color w:val="000000"/>
          <w:sz w:val="24"/>
        </w:rPr>
        <w:t>on</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relied</w:t>
      </w:r>
      <w:r>
        <w:rPr>
          <w:rFonts w:ascii="Times New Roman" w:hAnsi="Times New Roman"/>
          <w:color w:val="000000"/>
          <w:sz w:val="24"/>
        </w:rPr>
        <w:t xml:space="preserve"> </w:t>
      </w:r>
      <w:r>
        <w:rPr>
          <w:rFonts w:ascii="Verdana;sans-serif" w:hAnsi="Verdana;sans-serif"/>
          <w:color w:val="000000"/>
          <w:sz w:val="24"/>
        </w:rPr>
        <w:t>on</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activity</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which</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relates</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 referred to herein are not being offered to the public in the United Kingdom within the meaning of Regulation (EU) 2017/1129 as it forms part of domestic law by virtue of the European Union (Withdrawal) Act 2018 (the “EUWA”) (the</w:t>
      </w:r>
      <w:r>
        <w:rPr>
          <w:rFonts w:ascii="Times New Roman" w:hAnsi="Times New Roman"/>
          <w:color w:val="000000"/>
          <w:sz w:val="24"/>
        </w:rPr>
        <w:t xml:space="preserve"> “</w:t>
      </w:r>
      <w:r>
        <w:rPr>
          <w:rFonts w:ascii="Verdana;sans-serif" w:hAnsi="Verdana;sans-serif"/>
          <w:b/>
          <w:color w:val="000000"/>
          <w:sz w:val="24"/>
        </w:rPr>
        <w:t>UK</w:t>
      </w:r>
      <w:r>
        <w:rPr>
          <w:rFonts w:ascii="Times New Roman" w:hAnsi="Times New Roman"/>
          <w:color w:val="000000"/>
          <w:sz w:val="24"/>
        </w:rPr>
        <w:t xml:space="preserve"> </w:t>
      </w:r>
      <w:r>
        <w:rPr>
          <w:rFonts w:ascii="Verdana;sans-serif" w:hAnsi="Verdana;sans-serif"/>
          <w:b/>
          <w:color w:val="000000"/>
          <w:sz w:val="24"/>
        </w:rPr>
        <w:t>Prospectus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being</w:t>
      </w:r>
      <w:r>
        <w:rPr>
          <w:rFonts w:ascii="Times New Roman" w:hAnsi="Times New Roman"/>
          <w:color w:val="000000"/>
          <w:sz w:val="24"/>
        </w:rPr>
        <w:t xml:space="preserve"> </w:t>
      </w:r>
      <w:r>
        <w:rPr>
          <w:rFonts w:ascii="Verdana;sans-serif" w:hAnsi="Verdana;sans-serif"/>
          <w:color w:val="000000"/>
          <w:sz w:val="24"/>
        </w:rPr>
        <w:t>distributed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directed</w:t>
      </w:r>
      <w:r>
        <w:rPr>
          <w:rFonts w:ascii="Times New Roman" w:hAnsi="Times New Roman"/>
          <w:color w:val="000000"/>
          <w:sz w:val="24"/>
        </w:rPr>
        <w:t xml:space="preserve"> </w:t>
      </w:r>
      <w:r>
        <w:rPr>
          <w:rFonts w:ascii="Verdana;sans-serif" w:hAnsi="Verdana;sans-serif"/>
          <w:color w:val="000000"/>
          <w:sz w:val="24"/>
        </w:rPr>
        <w:t>at</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UK</w:t>
      </w:r>
      <w:r>
        <w:rPr>
          <w:rFonts w:ascii="Times New Roman" w:hAnsi="Times New Roman"/>
          <w:color w:val="000000"/>
          <w:sz w:val="24"/>
        </w:rPr>
        <w:t xml:space="preserve"> </w:t>
      </w:r>
      <w:r>
        <w:rPr>
          <w:rFonts w:ascii="Verdana;sans-serif" w:hAnsi="Verdana;sans-serif"/>
          <w:color w:val="000000"/>
          <w:sz w:val="24"/>
        </w:rPr>
        <w:t>Prospectus</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professionals</w:t>
      </w:r>
      <w:r>
        <w:rPr>
          <w:rFonts w:ascii="Times New Roman" w:hAnsi="Times New Roman"/>
          <w:color w:val="000000"/>
          <w:sz w:val="24"/>
        </w:rPr>
        <w:t xml:space="preserve"> </w:t>
      </w:r>
      <w:r>
        <w:rPr>
          <w:rFonts w:ascii="Verdana;sans-serif" w:hAnsi="Verdana;sans-serif"/>
          <w:color w:val="000000"/>
          <w:sz w:val="24"/>
        </w:rPr>
        <w:t>falling</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19(5)</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Financial</w:t>
      </w:r>
      <w:r>
        <w:rPr>
          <w:rFonts w:ascii="Times New Roman" w:hAnsi="Times New Roman"/>
          <w:color w:val="000000"/>
          <w:sz w:val="24"/>
        </w:rPr>
        <w:t xml:space="preserve"> </w:t>
      </w:r>
      <w:r>
        <w:rPr>
          <w:rFonts w:ascii="Verdana;sans-serif" w:hAnsi="Verdana;sans-serif"/>
          <w:color w:val="000000"/>
          <w:sz w:val="24"/>
        </w:rPr>
        <w:t>Services</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Markets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2000</w:t>
      </w:r>
      <w:r>
        <w:rPr>
          <w:rFonts w:ascii="Times New Roman" w:hAnsi="Times New Roman"/>
          <w:color w:val="000000"/>
          <w:sz w:val="24"/>
        </w:rPr>
        <w:t xml:space="preserve"> </w:t>
      </w:r>
      <w:r>
        <w:rPr>
          <w:rFonts w:ascii="Verdana;sans-serif" w:hAnsi="Verdana;sans-serif"/>
          <w:color w:val="000000"/>
          <w:sz w:val="24"/>
        </w:rPr>
        <w:t>(Financial</w:t>
      </w:r>
      <w:r>
        <w:rPr>
          <w:rFonts w:ascii="Times New Roman" w:hAnsi="Times New Roman"/>
          <w:color w:val="000000"/>
          <w:sz w:val="24"/>
        </w:rPr>
        <w:t xml:space="preserve"> </w:t>
      </w:r>
      <w:r>
        <w:rPr>
          <w:rFonts w:ascii="Verdana;sans-serif" w:hAnsi="Verdana;sans-serif"/>
          <w:color w:val="000000"/>
          <w:sz w:val="24"/>
        </w:rPr>
        <w:t>Promotion)</w:t>
      </w:r>
      <w:r>
        <w:rPr>
          <w:rFonts w:ascii="Times New Roman" w:hAnsi="Times New Roman"/>
          <w:color w:val="000000"/>
          <w:sz w:val="24"/>
        </w:rPr>
        <w:t xml:space="preserve"> </w:t>
      </w:r>
      <w:r>
        <w:rPr>
          <w:rFonts w:ascii="Verdana;sans-serif" w:hAnsi="Verdana;sans-serif"/>
          <w:color w:val="000000"/>
          <w:sz w:val="24"/>
        </w:rPr>
        <w:t>Order</w:t>
      </w:r>
      <w:r>
        <w:rPr>
          <w:rFonts w:ascii="Times New Roman" w:hAnsi="Times New Roman"/>
          <w:color w:val="000000"/>
          <w:sz w:val="24"/>
        </w:rPr>
        <w:t xml:space="preserve"> </w:t>
      </w:r>
      <w:r>
        <w:rPr>
          <w:rFonts w:ascii="Verdana;sans-serif" w:hAnsi="Verdana;sans-serif"/>
          <w:color w:val="000000"/>
          <w:sz w:val="24"/>
        </w:rPr>
        <w:t>2005</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Order</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high</w:t>
      </w:r>
      <w:r>
        <w:rPr>
          <w:rFonts w:ascii="Times New Roman" w:hAnsi="Times New Roman"/>
          <w:color w:val="000000"/>
          <w:sz w:val="24"/>
        </w:rPr>
        <w:t xml:space="preserve"> </w:t>
      </w:r>
      <w:r>
        <w:rPr>
          <w:rFonts w:ascii="Verdana;sans-serif" w:hAnsi="Verdana;sans-serif"/>
          <w:color w:val="000000"/>
          <w:sz w:val="24"/>
        </w:rPr>
        <w:t>net</w:t>
      </w:r>
      <w:r>
        <w:rPr>
          <w:rFonts w:ascii="Times New Roman" w:hAnsi="Times New Roman"/>
          <w:color w:val="000000"/>
          <w:sz w:val="24"/>
        </w:rPr>
        <w:t xml:space="preserve"> </w:t>
      </w:r>
      <w:r>
        <w:rPr>
          <w:rFonts w:ascii="Verdana;sans-serif" w:hAnsi="Verdana;sans-serif"/>
          <w:color w:val="000000"/>
          <w:sz w:val="24"/>
        </w:rPr>
        <w:t>worth</w:t>
      </w:r>
      <w:r>
        <w:rPr>
          <w:rFonts w:ascii="Times New Roman" w:hAnsi="Times New Roman"/>
          <w:color w:val="000000"/>
          <w:sz w:val="24"/>
        </w:rPr>
        <w:t xml:space="preserve"> </w:t>
      </w:r>
      <w:r>
        <w:rPr>
          <w:rFonts w:ascii="Verdana;sans-serif" w:hAnsi="Verdana;sans-serif"/>
          <w:color w:val="000000"/>
          <w:sz w:val="24"/>
        </w:rPr>
        <w:t>entities</w:t>
      </w:r>
      <w:r>
        <w:rPr>
          <w:rFonts w:ascii="Times New Roman" w:hAnsi="Times New Roman"/>
          <w:color w:val="000000"/>
          <w:sz w:val="24"/>
        </w:rPr>
        <w:t xml:space="preserve"> </w:t>
      </w:r>
      <w:r>
        <w:rPr>
          <w:rFonts w:ascii="Verdana;sans-serif" w:hAnsi="Verdana;sans-serif"/>
          <w:color w:val="000000"/>
          <w:sz w:val="24"/>
        </w:rPr>
        <w:t>falling</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49(2)(a)</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(d)</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Order</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(iii)</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whom</w:t>
      </w:r>
      <w:r>
        <w:rPr>
          <w:rFonts w:ascii="Times New Roman" w:hAnsi="Times New Roman"/>
          <w:color w:val="000000"/>
          <w:sz w:val="24"/>
        </w:rPr>
        <w:t xml:space="preserve"> </w:t>
      </w:r>
      <w:r>
        <w:rPr>
          <w:rFonts w:ascii="Verdana;sans-serif" w:hAnsi="Verdana;sans-serif"/>
          <w:color w:val="000000"/>
          <w:sz w:val="24"/>
        </w:rPr>
        <w:t>an</w:t>
      </w:r>
      <w:r>
        <w:rPr>
          <w:rFonts w:ascii="Times New Roman" w:hAnsi="Times New Roman"/>
          <w:color w:val="000000"/>
          <w:sz w:val="24"/>
        </w:rPr>
        <w:t xml:space="preserve"> </w:t>
      </w:r>
      <w:r>
        <w:rPr>
          <w:rFonts w:ascii="Verdana;sans-serif" w:hAnsi="Verdana;sans-serif"/>
          <w:color w:val="000000"/>
          <w:sz w:val="24"/>
        </w:rPr>
        <w:t>invitation</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inducement</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engage</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activity</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section</w:t>
      </w:r>
      <w:r>
        <w:rPr>
          <w:rFonts w:ascii="Times New Roman" w:hAnsi="Times New Roman"/>
          <w:color w:val="000000"/>
          <w:sz w:val="24"/>
        </w:rPr>
        <w:t xml:space="preserve"> </w:t>
      </w:r>
      <w:r>
        <w:rPr>
          <w:rFonts w:ascii="Verdana;sans-serif" w:hAnsi="Verdana;sans-serif"/>
          <w:color w:val="000000"/>
          <w:sz w:val="24"/>
        </w:rPr>
        <w:t>21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Financial</w:t>
      </w:r>
      <w:r>
        <w:rPr>
          <w:rFonts w:ascii="Times New Roman" w:hAnsi="Times New Roman"/>
          <w:color w:val="000000"/>
          <w:sz w:val="24"/>
        </w:rPr>
        <w:t xml:space="preserve"> </w:t>
      </w:r>
      <w:r>
        <w:rPr>
          <w:rFonts w:ascii="Verdana;sans-serif" w:hAnsi="Verdana;sans-serif"/>
          <w:color w:val="000000"/>
          <w:sz w:val="24"/>
        </w:rPr>
        <w:t>Services</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Markets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2000</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FSMA</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connection</w:t>
      </w:r>
      <w:r>
        <w:rPr>
          <w:rFonts w:ascii="Times New Roman" w:hAnsi="Times New Roman"/>
          <w:color w:val="000000"/>
          <w:sz w:val="24"/>
        </w:rPr>
        <w:t xml:space="preserve"> </w:t>
      </w:r>
      <w:r>
        <w:rPr>
          <w:rFonts w:ascii="Verdana;sans-serif" w:hAnsi="Verdana;sans-serif"/>
          <w:color w:val="000000"/>
          <w:sz w:val="24"/>
        </w:rPr>
        <w:t>with</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issue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sale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lawfully</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communicated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caused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communicated</w:t>
      </w:r>
      <w:r>
        <w:rPr>
          <w:rFonts w:ascii="Times New Roman" w:hAnsi="Times New Roman"/>
          <w:color w:val="000000"/>
          <w:sz w:val="24"/>
        </w:rPr>
        <w:t xml:space="preserve"> </w:t>
      </w:r>
      <w:r>
        <w:rPr>
          <w:rFonts w:ascii="Verdana;sans-serif" w:hAnsi="Verdana;sans-serif"/>
          <w:color w:val="000000"/>
          <w:sz w:val="24"/>
        </w:rPr>
        <w:t>(all</w:t>
      </w:r>
      <w:r>
        <w:rPr>
          <w:rFonts w:ascii="Times New Roman" w:hAnsi="Times New Roman"/>
          <w:color w:val="000000"/>
          <w:sz w:val="24"/>
        </w:rPr>
        <w:t xml:space="preserve"> </w:t>
      </w:r>
      <w:r>
        <w:rPr>
          <w:rFonts w:ascii="Verdana;sans-serif" w:hAnsi="Verdana;sans-serif"/>
          <w:color w:val="000000"/>
          <w:sz w:val="24"/>
        </w:rPr>
        <w:t>such</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together</w:t>
      </w:r>
      <w:r>
        <w:rPr>
          <w:rFonts w:ascii="Times New Roman" w:hAnsi="Times New Roman"/>
          <w:color w:val="000000"/>
          <w:sz w:val="24"/>
        </w:rPr>
        <w:t xml:space="preserve"> </w:t>
      </w:r>
      <w:r>
        <w:rPr>
          <w:rFonts w:ascii="Verdana;sans-serif" w:hAnsi="Verdana;sans-serif"/>
          <w:color w:val="000000"/>
          <w:sz w:val="24"/>
        </w:rPr>
        <w:t>being</w:t>
      </w:r>
      <w:r>
        <w:rPr>
          <w:rFonts w:ascii="Times New Roman" w:hAnsi="Times New Roman"/>
          <w:color w:val="000000"/>
          <w:sz w:val="24"/>
        </w:rPr>
        <w:t xml:space="preserve"> </w:t>
      </w:r>
      <w:r>
        <w:rPr>
          <w:rFonts w:ascii="Verdana;sans-serif" w:hAnsi="Verdana;sans-serif"/>
          <w:color w:val="000000"/>
          <w:sz w:val="24"/>
        </w:rPr>
        <w:t>referred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b/>
          <w:color w:val="000000"/>
          <w:sz w:val="24"/>
        </w:rPr>
        <w:t>Relevant</w:t>
      </w:r>
      <w:r>
        <w:rPr>
          <w:rFonts w:ascii="Times New Roman" w:hAnsi="Times New Roman"/>
          <w:color w:val="000000"/>
          <w:sz w:val="24"/>
        </w:rPr>
        <w:t xml:space="preserve"> </w:t>
      </w:r>
      <w:r>
        <w:rPr>
          <w:rFonts w:ascii="Verdana;sans-serif" w:hAnsi="Verdana;sans-serif"/>
          <w:b/>
          <w:color w:val="000000"/>
          <w:sz w:val="24"/>
        </w:rPr>
        <w:t>Persons</w:t>
      </w:r>
      <w:r>
        <w:rPr>
          <w:rFonts w:ascii="Times New Roman" w:hAnsi="Times New Roman"/>
          <w:color w:val="000000"/>
          <w:sz w:val="24"/>
        </w:rPr>
        <w:t>”</w:t>
      </w:r>
      <w:r>
        <w:rPr>
          <w:rFonts w:ascii="Verdana;sans-serif" w:hAnsi="Verdana;sans-serif"/>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This announcement is directed only at (i) in the United Kingdom, persons who are Relevant Persons and (ii) in any member state of the EEA, persons who are qualified investors. Any investment or investment activity to which this announcement relates is available only to Relevant Persons in the United Kingdom and qualified investors in any member state of the EEA.</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intended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should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 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these</w:t>
      </w:r>
      <w:r>
        <w:rPr>
          <w:rFonts w:ascii="Times New Roman" w:hAnsi="Times New Roman"/>
          <w:color w:val="000000"/>
          <w:sz w:val="24"/>
        </w:rPr>
        <w:t xml:space="preserve"> </w:t>
      </w:r>
      <w:r>
        <w:rPr>
          <w:rFonts w:ascii="Verdana;sans-serif" w:hAnsi="Verdana;sans-serif"/>
          <w:color w:val="000000"/>
          <w:sz w:val="24"/>
        </w:rPr>
        <w:t>purposes,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means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person</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more)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(11)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4(1)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MiFID</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Directive</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2016/97</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Insurance</w:t>
      </w:r>
      <w:r>
        <w:rPr>
          <w:rFonts w:ascii="Times New Roman" w:hAnsi="Times New Roman"/>
          <w:color w:val="000000"/>
          <w:sz w:val="24"/>
        </w:rPr>
        <w:t xml:space="preserve"> </w:t>
      </w:r>
      <w:r>
        <w:rPr>
          <w:rFonts w:ascii="Verdana;sans-serif" w:hAnsi="Verdana;sans-serif"/>
          <w:b/>
          <w:color w:val="000000"/>
          <w:sz w:val="24"/>
        </w:rPr>
        <w:t>Distribution</w:t>
      </w:r>
      <w:r>
        <w:rPr>
          <w:rFonts w:ascii="Times New Roman" w:hAnsi="Times New Roman"/>
          <w:color w:val="000000"/>
          <w:sz w:val="24"/>
        </w:rPr>
        <w:t xml:space="preserve"> </w:t>
      </w:r>
      <w:r>
        <w:rPr>
          <w:rFonts w:ascii="Verdana;sans-serif" w:hAnsi="Verdana;sans-serif"/>
          <w:b/>
          <w:color w:val="000000"/>
          <w:sz w:val="24"/>
        </w:rPr>
        <w:t>Directive</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where</w:t>
      </w:r>
      <w:r>
        <w:rPr>
          <w:rFonts w:ascii="Times New Roman" w:hAnsi="Times New Roman"/>
          <w:color w:val="000000"/>
          <w:sz w:val="24"/>
        </w:rPr>
        <w:t xml:space="preserve"> </w:t>
      </w:r>
      <w:r>
        <w:rPr>
          <w:rFonts w:ascii="Verdana;sans-serif" w:hAnsi="Verdana;sans-serif"/>
          <w:color w:val="000000"/>
          <w:sz w:val="24"/>
        </w:rPr>
        <w:t>that</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qualify</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professional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(10)</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4(1)</w:t>
      </w:r>
      <w:r>
        <w:rPr>
          <w:rFonts w:ascii="Times New Roman" w:hAnsi="Times New Roman"/>
          <w:color w:val="000000"/>
          <w:sz w:val="24"/>
        </w:rPr>
        <w:t xml:space="preserve"> </w:t>
      </w:r>
      <w:r>
        <w:rPr>
          <w:rFonts w:ascii="Verdana;sans-serif" w:hAnsi="Verdana;sans-serif"/>
          <w:color w:val="000000"/>
          <w:sz w:val="24"/>
        </w:rPr>
        <w:t>of EU</w:t>
      </w:r>
      <w:r>
        <w:rPr>
          <w:rFonts w:ascii="Times New Roman" w:hAnsi="Times New Roman"/>
          <w:color w:val="000000"/>
          <w:sz w:val="24"/>
        </w:rPr>
        <w:t xml:space="preserve"> </w:t>
      </w:r>
      <w:r>
        <w:rPr>
          <w:rFonts w:ascii="Verdana;sans-serif" w:hAnsi="Verdana;sans-serif"/>
          <w:color w:val="000000"/>
          <w:sz w:val="24"/>
        </w:rPr>
        <w:t>MiFID</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Consequently,</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key</w:t>
      </w:r>
      <w:r>
        <w:rPr>
          <w:rFonts w:ascii="Times New Roman" w:hAnsi="Times New Roman"/>
          <w:color w:val="000000"/>
          <w:sz w:val="24"/>
        </w:rPr>
        <w:t xml:space="preserve"> </w:t>
      </w:r>
      <w:r>
        <w:rPr>
          <w:rFonts w:ascii="Verdana;sans-serif" w:hAnsi="Verdana;sans-serif"/>
          <w:color w:val="000000"/>
          <w:sz w:val="24"/>
        </w:rPr>
        <w:t>information</w:t>
      </w:r>
      <w:r>
        <w:rPr>
          <w:rFonts w:ascii="Times New Roman" w:hAnsi="Times New Roman"/>
          <w:color w:val="000000"/>
          <w:sz w:val="24"/>
        </w:rPr>
        <w:t xml:space="preserve"> </w:t>
      </w:r>
      <w:r>
        <w:rPr>
          <w:rFonts w:ascii="Verdana;sans-serif" w:hAnsi="Verdana;sans-serif"/>
          <w:color w:val="000000"/>
          <w:sz w:val="24"/>
        </w:rPr>
        <w:t>document</w:t>
      </w:r>
      <w:r>
        <w:rPr>
          <w:rFonts w:ascii="Times New Roman" w:hAnsi="Times New Roman"/>
          <w:color w:val="000000"/>
          <w:sz w:val="24"/>
        </w:rPr>
        <w:t xml:space="preserve"> </w:t>
      </w:r>
      <w:r>
        <w:rPr>
          <w:rFonts w:ascii="Verdana;sans-serif" w:hAnsi="Verdana;sans-serif"/>
          <w:color w:val="000000"/>
          <w:sz w:val="24"/>
        </w:rPr>
        <w:t>required</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1286/2014</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EU</w:t>
      </w:r>
      <w:r>
        <w:rPr>
          <w:rFonts w:ascii="Times New Roman" w:hAnsi="Times New Roman"/>
          <w:color w:val="000000"/>
          <w:sz w:val="24"/>
        </w:rPr>
        <w:t xml:space="preserve"> </w:t>
      </w:r>
      <w:r>
        <w:rPr>
          <w:rFonts w:ascii="Verdana;sans-serif" w:hAnsi="Verdana;sans-serif"/>
          <w:b/>
          <w:color w:val="000000"/>
          <w:sz w:val="24"/>
        </w:rPr>
        <w:t>PRIIPs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has</w:t>
      </w:r>
      <w:r>
        <w:rPr>
          <w:rFonts w:ascii="Times New Roman" w:hAnsi="Times New Roman"/>
          <w:color w:val="000000"/>
          <w:sz w:val="24"/>
        </w:rPr>
        <w:t xml:space="preserve"> </w:t>
      </w:r>
      <w:r>
        <w:rPr>
          <w:rFonts w:ascii="Verdana;sans-serif" w:hAnsi="Verdana;sans-serif"/>
          <w:color w:val="000000"/>
          <w:sz w:val="24"/>
        </w:rPr>
        <w:t>been</w:t>
      </w:r>
      <w:r>
        <w:rPr>
          <w:rFonts w:ascii="Times New Roman" w:hAnsi="Times New Roman"/>
          <w:color w:val="000000"/>
          <w:sz w:val="24"/>
        </w:rPr>
        <w:t xml:space="preserve"> </w:t>
      </w:r>
      <w:r>
        <w:rPr>
          <w:rFonts w:ascii="Verdana;sans-serif" w:hAnsi="Verdana;sans-serif"/>
          <w:color w:val="000000"/>
          <w:sz w:val="24"/>
        </w:rPr>
        <w:t>prepared</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therefore</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unlawful</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PRIIPS</w:t>
      </w:r>
      <w:r>
        <w:rPr>
          <w:rFonts w:ascii="Times New Roman" w:hAnsi="Times New Roman"/>
          <w:color w:val="000000"/>
          <w:sz w:val="24"/>
        </w:rPr>
        <w:t xml:space="preserve"> </w:t>
      </w:r>
      <w:r>
        <w:rPr>
          <w:rFonts w:ascii="Verdana;sans-serif" w:hAnsi="Verdana;sans-serif"/>
          <w:color w:val="000000"/>
          <w:sz w:val="24"/>
        </w:rPr>
        <w:t>Regulation.</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intended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should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these</w:t>
      </w:r>
      <w:r>
        <w:rPr>
          <w:rFonts w:ascii="Times New Roman" w:hAnsi="Times New Roman"/>
          <w:color w:val="000000"/>
          <w:sz w:val="24"/>
        </w:rPr>
        <w:t xml:space="preserve"> </w:t>
      </w:r>
      <w:r>
        <w:rPr>
          <w:rFonts w:ascii="Verdana;sans-serif" w:hAnsi="Verdana;sans-serif"/>
          <w:color w:val="000000"/>
          <w:sz w:val="24"/>
        </w:rPr>
        <w:t>purposes,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means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person</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more)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(8)</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2</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2017/565</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it</w:t>
      </w:r>
      <w:r>
        <w:rPr>
          <w:rFonts w:ascii="Times New Roman" w:hAnsi="Times New Roman"/>
          <w:color w:val="000000"/>
          <w:sz w:val="24"/>
        </w:rPr>
        <w:t xml:space="preserve"> </w:t>
      </w:r>
      <w:r>
        <w:rPr>
          <w:rFonts w:ascii="Verdana;sans-serif" w:hAnsi="Verdana;sans-serif"/>
          <w:color w:val="000000"/>
          <w:sz w:val="24"/>
        </w:rPr>
        <w:t>forms</w:t>
      </w:r>
      <w:r>
        <w:rPr>
          <w:rFonts w:ascii="Times New Roman" w:hAnsi="Times New Roman"/>
          <w:color w:val="000000"/>
          <w:sz w:val="24"/>
        </w:rPr>
        <w:t xml:space="preserve"> </w:t>
      </w:r>
      <w:r>
        <w:rPr>
          <w:rFonts w:ascii="Verdana;sans-serif" w:hAnsi="Verdana;sans-serif"/>
          <w:color w:val="000000"/>
          <w:sz w:val="24"/>
        </w:rPr>
        <w:t>part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domestic</w:t>
      </w:r>
      <w:r>
        <w:rPr>
          <w:rFonts w:ascii="Times New Roman" w:hAnsi="Times New Roman"/>
          <w:color w:val="000000"/>
          <w:sz w:val="24"/>
        </w:rPr>
        <w:t xml:space="preserve"> </w:t>
      </w:r>
      <w:r>
        <w:rPr>
          <w:rFonts w:ascii="Verdana;sans-serif" w:hAnsi="Verdana;sans-serif"/>
          <w:color w:val="000000"/>
          <w:sz w:val="24"/>
        </w:rPr>
        <w:t>law</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virtue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EUWA;</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provisions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FSMA</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rules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regulations</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FSMA</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implement</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Insurance</w:t>
      </w:r>
      <w:r>
        <w:rPr>
          <w:rFonts w:ascii="Times New Roman" w:hAnsi="Times New Roman"/>
          <w:color w:val="000000"/>
          <w:sz w:val="24"/>
        </w:rPr>
        <w:t xml:space="preserve"> </w:t>
      </w:r>
      <w:r>
        <w:rPr>
          <w:rFonts w:ascii="Verdana;sans-serif" w:hAnsi="Verdana;sans-serif"/>
          <w:color w:val="000000"/>
          <w:sz w:val="24"/>
        </w:rPr>
        <w:t>Distribution</w:t>
      </w:r>
      <w:r>
        <w:rPr>
          <w:rFonts w:ascii="Times New Roman" w:hAnsi="Times New Roman"/>
          <w:color w:val="000000"/>
          <w:sz w:val="24"/>
        </w:rPr>
        <w:t xml:space="preserve"> </w:t>
      </w:r>
      <w:r>
        <w:rPr>
          <w:rFonts w:ascii="Verdana;sans-serif" w:hAnsi="Verdana;sans-serif"/>
          <w:color w:val="000000"/>
          <w:sz w:val="24"/>
        </w:rPr>
        <w:t>Directive,</w:t>
      </w:r>
      <w:r>
        <w:rPr>
          <w:rFonts w:ascii="Times New Roman" w:hAnsi="Times New Roman"/>
          <w:color w:val="000000"/>
          <w:sz w:val="24"/>
        </w:rPr>
        <w:t xml:space="preserve"> </w:t>
      </w:r>
      <w:r>
        <w:rPr>
          <w:rFonts w:ascii="Verdana;sans-serif" w:hAnsi="Verdana;sans-serif"/>
          <w:color w:val="000000"/>
          <w:sz w:val="24"/>
        </w:rPr>
        <w:t>where</w:t>
      </w:r>
      <w:r>
        <w:rPr>
          <w:rFonts w:ascii="Times New Roman" w:hAnsi="Times New Roman"/>
          <w:color w:val="000000"/>
          <w:sz w:val="24"/>
        </w:rPr>
        <w:t xml:space="preserve"> </w:t>
      </w:r>
      <w:r>
        <w:rPr>
          <w:rFonts w:ascii="Verdana;sans-serif" w:hAnsi="Verdana;sans-serif"/>
          <w:color w:val="000000"/>
          <w:sz w:val="24"/>
        </w:rPr>
        <w:t>that</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qualify</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professional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(8)</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2(1)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600/2014</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it</w:t>
      </w:r>
      <w:r>
        <w:rPr>
          <w:rFonts w:ascii="Times New Roman" w:hAnsi="Times New Roman"/>
          <w:color w:val="000000"/>
          <w:sz w:val="24"/>
        </w:rPr>
        <w:t xml:space="preserve"> </w:t>
      </w:r>
      <w:r>
        <w:rPr>
          <w:rFonts w:ascii="Verdana;sans-serif" w:hAnsi="Verdana;sans-serif"/>
          <w:color w:val="000000"/>
          <w:sz w:val="24"/>
        </w:rPr>
        <w:t>forms</w:t>
      </w:r>
      <w:r>
        <w:rPr>
          <w:rFonts w:ascii="Times New Roman" w:hAnsi="Times New Roman"/>
          <w:color w:val="000000"/>
          <w:sz w:val="24"/>
        </w:rPr>
        <w:t xml:space="preserve"> </w:t>
      </w:r>
      <w:r>
        <w:rPr>
          <w:rFonts w:ascii="Verdana;sans-serif" w:hAnsi="Verdana;sans-serif"/>
          <w:color w:val="000000"/>
          <w:sz w:val="24"/>
        </w:rPr>
        <w:t>part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domestic</w:t>
      </w:r>
      <w:r>
        <w:rPr>
          <w:rFonts w:ascii="Times New Roman" w:hAnsi="Times New Roman"/>
          <w:color w:val="000000"/>
          <w:sz w:val="24"/>
        </w:rPr>
        <w:t xml:space="preserve"> </w:t>
      </w:r>
      <w:r>
        <w:rPr>
          <w:rFonts w:ascii="Verdana;sans-serif" w:hAnsi="Verdana;sans-serif"/>
          <w:color w:val="000000"/>
          <w:sz w:val="24"/>
        </w:rPr>
        <w:t>law</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virtue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EUWA.</w:t>
      </w:r>
      <w:r>
        <w:rPr>
          <w:rFonts w:ascii="Times New Roman" w:hAnsi="Times New Roman"/>
          <w:color w:val="000000"/>
          <w:sz w:val="24"/>
        </w:rPr>
        <w:t xml:space="preserve"> </w:t>
      </w:r>
      <w:r>
        <w:rPr>
          <w:rFonts w:ascii="Verdana;sans-serif" w:hAnsi="Verdana;sans-serif"/>
          <w:color w:val="000000"/>
          <w:sz w:val="24"/>
        </w:rPr>
        <w:t>Consequently,</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key</w:t>
      </w:r>
      <w:r>
        <w:rPr>
          <w:rFonts w:ascii="Times New Roman" w:hAnsi="Times New Roman"/>
          <w:color w:val="000000"/>
          <w:sz w:val="24"/>
        </w:rPr>
        <w:t xml:space="preserve"> </w:t>
      </w:r>
      <w:r>
        <w:rPr>
          <w:rFonts w:ascii="Verdana;sans-serif" w:hAnsi="Verdana;sans-serif"/>
          <w:color w:val="000000"/>
          <w:sz w:val="24"/>
        </w:rPr>
        <w:t>information</w:t>
      </w:r>
      <w:r>
        <w:rPr>
          <w:rFonts w:ascii="Times New Roman" w:hAnsi="Times New Roman"/>
          <w:color w:val="000000"/>
          <w:sz w:val="24"/>
        </w:rPr>
        <w:t xml:space="preserve"> </w:t>
      </w:r>
      <w:r>
        <w:rPr>
          <w:rFonts w:ascii="Verdana;sans-serif" w:hAnsi="Verdana;sans-serif"/>
          <w:color w:val="000000"/>
          <w:sz w:val="24"/>
        </w:rPr>
        <w:t>document</w:t>
      </w:r>
      <w:r>
        <w:rPr>
          <w:rFonts w:ascii="Times New Roman" w:hAnsi="Times New Roman"/>
          <w:color w:val="000000"/>
          <w:sz w:val="24"/>
        </w:rPr>
        <w:t xml:space="preserve"> </w:t>
      </w:r>
      <w:r>
        <w:rPr>
          <w:rFonts w:ascii="Verdana;sans-serif" w:hAnsi="Verdana;sans-serif"/>
          <w:color w:val="000000"/>
          <w:sz w:val="24"/>
        </w:rPr>
        <w:t>required</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1286/2014</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it</w:t>
      </w:r>
      <w:r>
        <w:rPr>
          <w:rFonts w:ascii="Times New Roman" w:hAnsi="Times New Roman"/>
          <w:color w:val="000000"/>
          <w:sz w:val="24"/>
        </w:rPr>
        <w:t xml:space="preserve"> </w:t>
      </w:r>
      <w:r>
        <w:rPr>
          <w:rFonts w:ascii="Verdana;sans-serif" w:hAnsi="Verdana;sans-serif"/>
          <w:color w:val="000000"/>
          <w:sz w:val="24"/>
        </w:rPr>
        <w:t>forms</w:t>
      </w:r>
      <w:r>
        <w:rPr>
          <w:rFonts w:ascii="Times New Roman" w:hAnsi="Times New Roman"/>
          <w:color w:val="000000"/>
          <w:sz w:val="24"/>
        </w:rPr>
        <w:t xml:space="preserve"> </w:t>
      </w:r>
      <w:r>
        <w:rPr>
          <w:rFonts w:ascii="Verdana;sans-serif" w:hAnsi="Verdana;sans-serif"/>
          <w:color w:val="000000"/>
          <w:sz w:val="24"/>
        </w:rPr>
        <w:t>part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domestic</w:t>
      </w:r>
      <w:r>
        <w:rPr>
          <w:rFonts w:ascii="Times New Roman" w:hAnsi="Times New Roman"/>
          <w:color w:val="000000"/>
          <w:sz w:val="24"/>
        </w:rPr>
        <w:t xml:space="preserve"> </w:t>
      </w:r>
      <w:r>
        <w:rPr>
          <w:rFonts w:ascii="Verdana;sans-serif" w:hAnsi="Verdana;sans-serif"/>
          <w:color w:val="000000"/>
          <w:sz w:val="24"/>
        </w:rPr>
        <w:t>law</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virtue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EUWA</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UK</w:t>
      </w:r>
      <w:r>
        <w:rPr>
          <w:rFonts w:ascii="Times New Roman" w:hAnsi="Times New Roman"/>
          <w:color w:val="000000"/>
          <w:sz w:val="24"/>
        </w:rPr>
        <w:t xml:space="preserve"> </w:t>
      </w:r>
      <w:r>
        <w:rPr>
          <w:rFonts w:ascii="Verdana;sans-serif" w:hAnsi="Verdana;sans-serif"/>
          <w:b/>
          <w:color w:val="000000"/>
          <w:sz w:val="24"/>
        </w:rPr>
        <w:t>PRIIPs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has</w:t>
      </w:r>
      <w:r>
        <w:rPr>
          <w:rFonts w:ascii="Times New Roman" w:hAnsi="Times New Roman"/>
          <w:color w:val="000000"/>
          <w:sz w:val="24"/>
        </w:rPr>
        <w:t xml:space="preserve"> </w:t>
      </w:r>
      <w:r>
        <w:rPr>
          <w:rFonts w:ascii="Verdana;sans-serif" w:hAnsi="Verdana;sans-serif"/>
          <w:color w:val="000000"/>
          <w:sz w:val="24"/>
        </w:rPr>
        <w:t>been</w:t>
      </w:r>
      <w:r>
        <w:rPr>
          <w:rFonts w:ascii="Times New Roman" w:hAnsi="Times New Roman"/>
          <w:color w:val="000000"/>
          <w:sz w:val="24"/>
        </w:rPr>
        <w:t xml:space="preserve"> </w:t>
      </w:r>
      <w:r>
        <w:rPr>
          <w:rFonts w:ascii="Verdana;sans-serif" w:hAnsi="Verdana;sans-serif"/>
          <w:color w:val="000000"/>
          <w:sz w:val="24"/>
        </w:rPr>
        <w:t>prepared</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therefore,</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unlawful</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UK</w:t>
      </w:r>
      <w:r>
        <w:rPr>
          <w:rFonts w:ascii="Times New Roman" w:hAnsi="Times New Roman"/>
          <w:color w:val="000000"/>
          <w:sz w:val="24"/>
        </w:rPr>
        <w:t xml:space="preserve"> </w:t>
      </w:r>
      <w:r>
        <w:rPr>
          <w:rFonts w:ascii="Verdana;sans-serif" w:hAnsi="Verdana;sans-serif"/>
          <w:color w:val="000000"/>
          <w:sz w:val="24"/>
        </w:rPr>
        <w:t>PRIIPs</w:t>
      </w:r>
      <w:r>
        <w:rPr>
          <w:rFonts w:ascii="Times New Roman" w:hAnsi="Times New Roman"/>
          <w:color w:val="000000"/>
          <w:sz w:val="24"/>
        </w:rPr>
        <w:t xml:space="preserve"> </w:t>
      </w:r>
      <w:r>
        <w:rPr>
          <w:rFonts w:ascii="Verdana;sans-serif" w:hAnsi="Verdana;sans-serif"/>
          <w:color w:val="000000"/>
          <w:sz w:val="24"/>
        </w:rPr>
        <w:t>Regulation.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240" w:after="283"/>
        <w:jc w:val="both"/>
        <w:rPr>
          <w:rFonts w:ascii="Verdana;sans-serif" w:hAnsi="Verdana;sans-serif"/>
          <w:sz w:val="24"/>
        </w:rPr>
      </w:pPr>
      <w:r>
        <w:rPr>
          <w:rFonts w:ascii="Verdana;sans-serif" w:hAnsi="Verdana;sans-serif"/>
          <w:b/>
          <w:color w:val="000000"/>
          <w:sz w:val="24"/>
        </w:rPr>
        <w:t>No Offer or Solicitation</w:t>
      </w:r>
      <w:r>
        <w:rPr>
          <w:rFonts w:ascii="Verdana;sans-serif" w:hAnsi="Verdana;sans-serif"/>
          <w:color w:val="000000"/>
          <w:sz w:val="24"/>
        </w:rPr>
        <w:t xml:space="preserve"> </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 xml:space="preserve">The Offering is being made by means of an offering memorandum. This press release is for informational purposes only and does not constitute (and shall not be construed as) an offer to sell or the solicitation of an offer to buy any securities of AIR Limited, nor shall there be any sale of securities in any state or jurisdiction in which such offer, solicitation, or sale would be unlawful prior to registration or qualification under the securities laws of any such state or jurisdiction. </w:t>
      </w:r>
    </w:p>
    <w:p>
      <w:pPr>
        <w:pStyle w:val="TextBody"/>
        <w:bidi w:val="0"/>
        <w:spacing w:before="240" w:after="283"/>
        <w:jc w:val="both"/>
        <w:rPr>
          <w:rFonts w:ascii="Verdana;sans-serif" w:hAnsi="Verdana;sans-serif"/>
          <w:sz w:val="24"/>
        </w:rPr>
      </w:pPr>
      <w:r>
        <w:rPr>
          <w:rFonts w:ascii="Verdana;sans-serif" w:hAnsi="Verdana;sans-serif"/>
          <w:b/>
          <w:color w:val="000000"/>
          <w:sz w:val="24"/>
        </w:rPr>
        <w:t>Forward Looking Statements</w:t>
      </w:r>
      <w:r>
        <w:rPr>
          <w:rFonts w:ascii="Verdana;sans-serif" w:hAnsi="Verdana;sans-serif"/>
          <w:color w:val="000000"/>
          <w:sz w:val="24"/>
        </w:rPr>
        <w:t xml:space="preserve"> </w:t>
      </w:r>
    </w:p>
    <w:p>
      <w:pPr>
        <w:pStyle w:val="TextBody"/>
        <w:bidi w:val="0"/>
        <w:spacing w:before="240" w:after="283"/>
        <w:jc w:val="both"/>
        <w:rPr>
          <w:rFonts w:ascii="Times New Roman" w:hAnsi="Times New Roman"/>
          <w:sz w:val="24"/>
        </w:rPr>
      </w:pPr>
      <w:r>
        <w:rPr>
          <w:rFonts w:ascii="Verdana;sans-serif" w:hAnsi="Verdana;sans-serif"/>
          <w:color w:val="000000"/>
          <w:sz w:val="24"/>
        </w:rPr>
        <w:t>This press release contains “forward</w:t>
      </w:r>
      <w:r>
        <w:rPr>
          <w:rFonts w:ascii="Times New Roman" w:hAnsi="Times New Roman"/>
          <w:color w:val="000000"/>
          <w:sz w:val="24"/>
        </w:rPr>
        <w:noBreakHyphen/>
      </w:r>
      <w:r>
        <w:rPr>
          <w:rFonts w:ascii="Verdana;sans-serif" w:hAnsi="Verdana;sans-serif"/>
          <w:color w:val="000000"/>
          <w:sz w:val="24"/>
        </w:rPr>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 Forward-looking statements in this press release include, but are not limited to, statements regarding: the expected occurrence of or date of settlement of the Offering; the expected use of proceeds from the Offering; and AIR’s strategy, market position and future business prospects.</w:t>
      </w:r>
    </w:p>
    <w:p>
      <w:pPr>
        <w:pStyle w:val="TextBody"/>
        <w:bidi w:val="0"/>
        <w:spacing w:before="240" w:after="283"/>
        <w:jc w:val="both"/>
        <w:rPr>
          <w:rFonts w:ascii="Times New Roman" w:hAnsi="Times New Roman"/>
          <w:sz w:val="24"/>
        </w:rPr>
      </w:pPr>
      <w:r>
        <w:rPr>
          <w:rFonts w:ascii="Verdana;sans-serif" w:hAnsi="Verdana;sans-serif"/>
          <w:color w:val="000000"/>
          <w:sz w:val="24"/>
        </w:rPr>
        <w:t>Such forward</w:t>
      </w:r>
      <w:r>
        <w:rPr>
          <w:rFonts w:ascii="Times New Roman" w:hAnsi="Times New Roman"/>
          <w:color w:val="000000"/>
          <w:sz w:val="24"/>
        </w:rPr>
        <w:noBreakHyphen/>
      </w:r>
      <w:r>
        <w:rPr>
          <w:rFonts w:ascii="Verdana;sans-serif" w:hAnsi="Verdana;sans-serif"/>
          <w:color w:val="000000"/>
          <w:sz w:val="24"/>
        </w:rPr>
        <w:t>looking statements are based on available current market material and management’s expectations, beliefs and forecasts concerning future events impacting the Issuer. These statements are subject to risks and uncertainties that could cause actual results to differ materially from those expressed or implied by the forward</w:t>
      </w:r>
      <w:r>
        <w:rPr>
          <w:rFonts w:ascii="Times New Roman" w:hAnsi="Times New Roman"/>
          <w:color w:val="000000"/>
          <w:sz w:val="24"/>
        </w:rPr>
        <w:noBreakHyphen/>
      </w:r>
      <w:r>
        <w:rPr>
          <w:rFonts w:ascii="Verdana;sans-serif" w:hAnsi="Verdana;sans-serif"/>
          <w:color w:val="000000"/>
          <w:sz w:val="24"/>
        </w:rPr>
        <w:t>looking statements.</w:t>
      </w:r>
    </w:p>
    <w:p>
      <w:pPr>
        <w:pStyle w:val="TextBody"/>
        <w:bidi w:val="0"/>
        <w:spacing w:before="240" w:after="283"/>
        <w:jc w:val="both"/>
        <w:rPr>
          <w:rFonts w:ascii="Times New Roman" w:hAnsi="Times New Roman"/>
          <w:sz w:val="24"/>
        </w:rPr>
      </w:pPr>
      <w:r>
        <w:rPr>
          <w:rFonts w:ascii="Verdana;sans-serif" w:hAnsi="Verdana;sans-serif"/>
          <w:color w:val="000000"/>
          <w:sz w:val="24"/>
        </w:rPr>
        <w:t>Nothing in this press release should be regarded as a representation by the Issuer that the forward</w:t>
      </w:r>
      <w:r>
        <w:rPr>
          <w:rFonts w:ascii="Times New Roman" w:hAnsi="Times New Roman"/>
          <w:color w:val="000000"/>
          <w:sz w:val="24"/>
        </w:rPr>
        <w:noBreakHyphen/>
      </w:r>
      <w:r>
        <w:rPr>
          <w:rFonts w:ascii="Verdana;sans-serif" w:hAnsi="Verdana;sans-serif"/>
          <w:color w:val="000000"/>
          <w:sz w:val="24"/>
        </w:rPr>
        <w:t>looking statements will be achieved. Forward</w:t>
      </w:r>
      <w:r>
        <w:rPr>
          <w:rFonts w:ascii="Times New Roman" w:hAnsi="Times New Roman"/>
          <w:color w:val="000000"/>
          <w:sz w:val="24"/>
        </w:rPr>
        <w:noBreakHyphen/>
      </w:r>
      <w:r>
        <w:rPr>
          <w:rFonts w:ascii="Verdana;sans-serif" w:hAnsi="Verdana;sans-serif"/>
          <w:color w:val="000000"/>
          <w:sz w:val="24"/>
        </w:rPr>
        <w:t>looking statements speak only as of the date they are made, and the Issuer undertakes no obligation to update or revise any forward</w:t>
      </w:r>
      <w:r>
        <w:rPr>
          <w:rFonts w:ascii="Times New Roman" w:hAnsi="Times New Roman"/>
          <w:color w:val="000000"/>
          <w:sz w:val="24"/>
        </w:rPr>
        <w:noBreakHyphen/>
      </w:r>
      <w:r>
        <w:rPr>
          <w:rFonts w:ascii="Verdana;sans-serif" w:hAnsi="Verdana;sans-serif"/>
          <w:color w:val="000000"/>
          <w:sz w:val="24"/>
        </w:rPr>
        <w:t>looking statements, whether as a result of new information, future events, or otherwise, except as required by law.</w:t>
      </w:r>
      <w:r>
        <w:rPr>
          <w:rFonts w:ascii="Times New Roman" w:hAnsi="Times New Roman"/>
          <w:color w:val="000000"/>
          <w:sz w:val="24"/>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240" w:after="283"/>
        <w:jc w:val="both"/>
        <w:rPr>
          <w:rFonts w:ascii="Verdana;sans-serif" w:hAnsi="Verdana;sans-serif"/>
          <w:sz w:val="24"/>
        </w:rPr>
      </w:pPr>
      <w:r>
        <w:rPr>
          <w:rFonts w:ascii="Verdana;sans-serif" w:hAnsi="Verdana;sans-serif"/>
          <w:b/>
          <w:color w:val="000000"/>
          <w:sz w:val="24"/>
        </w:rPr>
        <w:t>Contacts</w:t>
      </w:r>
      <w:r>
        <w:rPr>
          <w:rFonts w:ascii="Verdana;sans-serif" w:hAnsi="Verdana;sans-serif"/>
          <w:color w:val="000000"/>
          <w:sz w:val="24"/>
        </w:rPr>
        <w:t xml:space="preserve"> </w:t>
      </w:r>
    </w:p>
    <w:p>
      <w:pPr>
        <w:pStyle w:val="TextBody"/>
        <w:bidi w:val="0"/>
        <w:jc w:val="both"/>
        <w:rPr>
          <w:rFonts w:ascii="Verdana;sans-serif" w:hAnsi="Verdana;sans-serif"/>
          <w:sz w:val="24"/>
        </w:rPr>
      </w:pPr>
      <w:r>
        <w:rPr>
          <w:rFonts w:ascii="Verdana;sans-serif" w:hAnsi="Verdana;sans-serif"/>
          <w:b/>
          <w:color w:val="000000"/>
          <w:sz w:val="24"/>
        </w:rPr>
        <w:t>AIR Investor Relations:</w:t>
      </w:r>
      <w:r>
        <w:rPr>
          <w:rFonts w:ascii="Verdana;sans-serif" w:hAnsi="Verdana;sans-serif"/>
          <w:color w:val="000000"/>
          <w:sz w:val="24"/>
        </w:rPr>
        <w:t xml:space="preserve"> </w:t>
      </w:r>
    </w:p>
    <w:p>
      <w:pPr>
        <w:pStyle w:val="TextBody"/>
        <w:bidi w:val="0"/>
        <w:jc w:val="left"/>
        <w:rPr>
          <w:rFonts w:ascii="Verdana;sans-serif" w:hAnsi="Verdana;sans-serif"/>
          <w:color w:val="000000"/>
          <w:sz w:val="24"/>
        </w:rPr>
      </w:pPr>
      <w:r>
        <w:rPr>
          <w:rFonts w:ascii="Verdana;sans-serif" w:hAnsi="Verdana;sans-serif"/>
          <w:color w:val="000000"/>
          <w:sz w:val="24"/>
        </w:rPr>
        <w:t xml:space="preserve">Gaurav Jain: Gaurav.jain@air.global; +971-56-439-4296 </w:t>
      </w:r>
    </w:p>
    <w:p>
      <w:pPr>
        <w:pStyle w:val="TextBody"/>
        <w:bidi w:val="0"/>
        <w:jc w:val="left"/>
        <w:rPr>
          <w:rFonts w:ascii="Verdana;sans-serif" w:hAnsi="Verdana;sans-serif"/>
          <w:sz w:val="24"/>
        </w:rPr>
      </w:pPr>
      <w:r>
        <w:rPr>
          <w:rFonts w:ascii="Verdana;sans-serif" w:hAnsi="Verdana;sans-serif"/>
          <w:color w:val="000000"/>
          <w:sz w:val="24"/>
        </w:rPr>
        <w:t xml:space="preserve">Anuja Shendye: </w:t>
      </w:r>
      <w:r>
        <w:rPr>
          <w:rFonts w:ascii="Verdana;sans-serif" w:hAnsi="Verdana;sans-serif"/>
          <w:sz w:val="24"/>
        </w:rPr>
        <w:t>a.shendye@air.global</w:t>
      </w:r>
      <w:r>
        <w:rPr>
          <w:rFonts w:ascii="Verdana;sans-serif" w:hAnsi="Verdana;sans-serif"/>
          <w:color w:val="000000"/>
          <w:sz w:val="24"/>
        </w:rPr>
        <w:t xml:space="preserve">; +971-58-907-8782 investor@air.global </w:t>
      </w:r>
    </w:p>
    <w:p>
      <w:pPr>
        <w:pStyle w:val="TextBody"/>
        <w:bidi w:val="0"/>
        <w:jc w:val="left"/>
        <w:rPr/>
      </w:pPr>
      <w:r>
        <w:rPr/>
        <w:t> </w:t>
      </w:r>
    </w:p>
    <w:p>
      <w:pPr>
        <w:pStyle w:val="TextBody"/>
        <w:bidi w:val="0"/>
        <w:jc w:val="left"/>
        <w:rPr>
          <w:rFonts w:ascii="Verdana;sans-serif" w:hAnsi="Verdana;sans-serif"/>
          <w:sz w:val="24"/>
        </w:rPr>
      </w:pPr>
      <w:r>
        <w:rPr>
          <w:rFonts w:ascii="Verdana;sans-serif" w:hAnsi="Verdana;sans-serif"/>
          <w:b/>
          <w:color w:val="000000"/>
          <w:sz w:val="24"/>
        </w:rPr>
        <w:t>AIR Media Relations:</w:t>
      </w:r>
      <w:r>
        <w:rPr>
          <w:rFonts w:ascii="Verdana;sans-serif" w:hAnsi="Verdana;sans-serif"/>
          <w:color w:val="000000"/>
          <w:sz w:val="24"/>
        </w:rPr>
        <w:t xml:space="preserve"> </w:t>
      </w:r>
    </w:p>
    <w:p>
      <w:pPr>
        <w:pStyle w:val="TextBody"/>
        <w:bidi w:val="0"/>
        <w:jc w:val="left"/>
        <w:rPr>
          <w:rFonts w:ascii="Verdana;sans-serif" w:hAnsi="Verdana;sans-serif"/>
          <w:color w:val="000000"/>
          <w:sz w:val="24"/>
        </w:rPr>
      </w:pPr>
      <w:r>
        <w:rPr>
          <w:rFonts w:ascii="Verdana;sans-serif" w:hAnsi="Verdana;sans-serif"/>
          <w:color w:val="000000"/>
          <w:sz w:val="24"/>
        </w:rPr>
        <w:t xml:space="preserve">ICR for AIR </w:t>
      </w:r>
    </w:p>
    <w:p>
      <w:pPr>
        <w:pStyle w:val="TextBody"/>
        <w:bidi w:val="0"/>
        <w:jc w:val="left"/>
        <w:rPr>
          <w:rFonts w:ascii="Verdana;sans-serif" w:hAnsi="Verdana;sans-serif"/>
          <w:color w:val="000000"/>
          <w:sz w:val="24"/>
        </w:rPr>
      </w:pPr>
      <w:r>
        <w:rPr>
          <w:rFonts w:ascii="Verdana;sans-serif" w:hAnsi="Verdana;sans-serif"/>
          <w:color w:val="000000"/>
          <w:sz w:val="24"/>
        </w:rPr>
        <w:t>For more information, email inquiries to AIRglobal@icrinc.com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image" Target="media/image2.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2014</Words>
  <Characters>10888</Characters>
  <CharactersWithSpaces>12981</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